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0C4D" w:rsidRDefault="00530C4D" w:rsidP="00E92155">
      <w:pPr>
        <w:ind w:right="1983"/>
        <w:jc w:val="both"/>
        <w:rPr>
          <w:rFonts w:ascii="Tahoma" w:hAnsi="Tahoma" w:cs="Tahoma"/>
          <w:b/>
          <w:i/>
          <w:sz w:val="22"/>
          <w:szCs w:val="22"/>
        </w:rPr>
      </w:pPr>
    </w:p>
    <w:p w:rsidR="00530C4D" w:rsidRDefault="00530C4D" w:rsidP="0065614C">
      <w:pPr>
        <w:ind w:left="1843" w:right="1983"/>
        <w:jc w:val="both"/>
        <w:rPr>
          <w:rFonts w:ascii="Tahoma" w:hAnsi="Tahoma" w:cs="Tahoma"/>
          <w:b/>
          <w:i/>
          <w:sz w:val="22"/>
          <w:szCs w:val="22"/>
        </w:rPr>
      </w:pPr>
    </w:p>
    <w:p w:rsidR="0065614C" w:rsidRPr="0065614C" w:rsidRDefault="0065614C" w:rsidP="0065614C">
      <w:pPr>
        <w:ind w:left="1843" w:right="1983"/>
        <w:jc w:val="both"/>
        <w:rPr>
          <w:rFonts w:ascii="Tahoma" w:hAnsi="Tahoma" w:cs="Tahoma"/>
          <w:i/>
          <w:sz w:val="22"/>
          <w:szCs w:val="22"/>
        </w:rPr>
      </w:pPr>
      <w:r w:rsidRPr="0065614C">
        <w:rPr>
          <w:rFonts w:ascii="Tahoma" w:hAnsi="Tahoma" w:cs="Tahoma"/>
          <w:b/>
          <w:i/>
          <w:sz w:val="22"/>
          <w:szCs w:val="22"/>
        </w:rPr>
        <w:t>Sumilla   :</w:t>
      </w:r>
      <w:r w:rsidRPr="0065614C">
        <w:rPr>
          <w:rFonts w:ascii="Tahoma" w:hAnsi="Tahoma" w:cs="Tahoma"/>
          <w:i/>
          <w:sz w:val="22"/>
          <w:szCs w:val="22"/>
        </w:rPr>
        <w:t xml:space="preserve"> </w:t>
      </w:r>
      <w:r w:rsidRPr="0065614C">
        <w:rPr>
          <w:rFonts w:ascii="Tahoma" w:hAnsi="Tahoma" w:cs="Tahoma"/>
          <w:i/>
          <w:sz w:val="22"/>
          <w:szCs w:val="22"/>
        </w:rPr>
        <w:tab/>
        <w:t>“</w:t>
      </w:r>
      <w:r w:rsidRPr="0065614C">
        <w:rPr>
          <w:rFonts w:ascii="Tahoma" w:hAnsi="Tahoma" w:cs="Tahoma"/>
          <w:i/>
          <w:color w:val="000000" w:themeColor="text1"/>
          <w:sz w:val="22"/>
          <w:szCs w:val="22"/>
        </w:rPr>
        <w:t>En consecuencia, en base a los criterios antes indicados, corresponde declarar no ha lugar a la imposición de sanción al Denunciado”</w:t>
      </w:r>
    </w:p>
    <w:p w:rsidR="0065614C" w:rsidRPr="0065614C" w:rsidRDefault="0065614C" w:rsidP="0065614C">
      <w:pPr>
        <w:ind w:left="1843" w:right="1983"/>
        <w:jc w:val="both"/>
        <w:rPr>
          <w:rFonts w:ascii="Tahoma" w:hAnsi="Tahoma" w:cs="Tahoma"/>
          <w:i/>
          <w:sz w:val="22"/>
          <w:szCs w:val="22"/>
        </w:rPr>
      </w:pPr>
    </w:p>
    <w:p w:rsidR="0065614C" w:rsidRPr="0065614C" w:rsidRDefault="0065614C" w:rsidP="0065614C">
      <w:pPr>
        <w:pStyle w:val="Textoindependiente3"/>
        <w:spacing w:after="0"/>
        <w:rPr>
          <w:rFonts w:ascii="Tahoma" w:hAnsi="Tahoma" w:cs="Tahoma"/>
          <w:i/>
          <w:sz w:val="22"/>
          <w:szCs w:val="22"/>
          <w:lang w:val="es-ES"/>
        </w:rPr>
      </w:pPr>
    </w:p>
    <w:p w:rsidR="0065614C" w:rsidRPr="0065614C" w:rsidRDefault="00530C4D" w:rsidP="0065614C">
      <w:pPr>
        <w:pStyle w:val="Textoindependiente3"/>
        <w:spacing w:after="0"/>
        <w:ind w:left="5387"/>
        <w:jc w:val="both"/>
        <w:rPr>
          <w:rFonts w:ascii="Tahoma" w:hAnsi="Tahoma" w:cs="Tahoma"/>
          <w:b/>
          <w:sz w:val="22"/>
          <w:szCs w:val="22"/>
        </w:rPr>
      </w:pPr>
      <w:r>
        <w:rPr>
          <w:rFonts w:ascii="Tahoma" w:hAnsi="Tahoma" w:cs="Tahoma"/>
          <w:b/>
          <w:sz w:val="22"/>
          <w:szCs w:val="22"/>
        </w:rPr>
        <w:t xml:space="preserve"> </w:t>
      </w:r>
      <w:r w:rsidR="0065614C" w:rsidRPr="0065614C">
        <w:rPr>
          <w:rFonts w:ascii="Tahoma" w:hAnsi="Tahoma" w:cs="Tahoma"/>
          <w:b/>
          <w:sz w:val="22"/>
          <w:szCs w:val="22"/>
        </w:rPr>
        <w:t>Lima,</w:t>
      </w:r>
      <w:r>
        <w:rPr>
          <w:rFonts w:ascii="Tahoma" w:hAnsi="Tahoma" w:cs="Tahoma"/>
          <w:b/>
          <w:sz w:val="22"/>
          <w:szCs w:val="22"/>
        </w:rPr>
        <w:t xml:space="preserve"> 31 de Enero de 2011</w:t>
      </w:r>
    </w:p>
    <w:p w:rsidR="0065614C" w:rsidRPr="0065614C" w:rsidRDefault="0065614C" w:rsidP="0065614C">
      <w:pPr>
        <w:pStyle w:val="Textoindependiente3"/>
        <w:spacing w:after="0"/>
        <w:ind w:left="5387"/>
        <w:jc w:val="both"/>
        <w:rPr>
          <w:rFonts w:ascii="Tahoma" w:hAnsi="Tahoma" w:cs="Tahoma"/>
          <w:b/>
          <w:sz w:val="22"/>
          <w:szCs w:val="22"/>
        </w:rPr>
      </w:pPr>
    </w:p>
    <w:p w:rsidR="0065614C" w:rsidRPr="0065614C" w:rsidRDefault="0065614C" w:rsidP="0065614C">
      <w:pPr>
        <w:pStyle w:val="Textonotapie"/>
        <w:widowControl w:val="0"/>
        <w:suppressAutoHyphens/>
        <w:ind w:firstLine="567"/>
        <w:jc w:val="both"/>
        <w:rPr>
          <w:rFonts w:ascii="Tahoma" w:hAnsi="Tahoma" w:cs="Tahoma"/>
          <w:sz w:val="22"/>
          <w:szCs w:val="22"/>
        </w:rPr>
      </w:pPr>
      <w:r w:rsidRPr="0065614C">
        <w:rPr>
          <w:rFonts w:ascii="Tahoma" w:hAnsi="Tahoma" w:cs="Tahoma"/>
          <w:b/>
          <w:sz w:val="22"/>
          <w:szCs w:val="22"/>
        </w:rPr>
        <w:t xml:space="preserve">Visto </w:t>
      </w:r>
      <w:r w:rsidRPr="0065614C">
        <w:rPr>
          <w:rFonts w:ascii="Tahoma" w:hAnsi="Tahoma" w:cs="Tahoma"/>
          <w:sz w:val="22"/>
          <w:szCs w:val="22"/>
        </w:rPr>
        <w:t xml:space="preserve">en sesión de fecha 31 de enero de 2011 la Primera Sala del Tribunal de Contrataciones del </w:t>
      </w:r>
      <w:r>
        <w:rPr>
          <w:rFonts w:ascii="Tahoma" w:hAnsi="Tahoma" w:cs="Tahoma"/>
          <w:sz w:val="22"/>
          <w:szCs w:val="22"/>
        </w:rPr>
        <w:t>Estado, el Expediente N° 1795-2010</w:t>
      </w:r>
      <w:r w:rsidRPr="0065614C">
        <w:rPr>
          <w:rFonts w:ascii="Tahoma" w:hAnsi="Tahoma" w:cs="Tahoma"/>
          <w:sz w:val="22"/>
          <w:szCs w:val="22"/>
        </w:rPr>
        <w:t xml:space="preserve">.TC; sobre el procedimiento administrativo sancionador iniciado contra </w:t>
      </w:r>
      <w:r>
        <w:rPr>
          <w:rFonts w:ascii="Tahoma" w:hAnsi="Tahoma" w:cs="Tahoma"/>
          <w:sz w:val="22"/>
          <w:szCs w:val="22"/>
        </w:rPr>
        <w:t xml:space="preserve">la empresa </w:t>
      </w:r>
      <w:r w:rsidRPr="0065614C">
        <w:rPr>
          <w:rFonts w:ascii="Tahoma" w:hAnsi="Tahoma" w:cs="Tahoma"/>
          <w:sz w:val="22"/>
          <w:szCs w:val="22"/>
        </w:rPr>
        <w:t>COPIA EXPRESS S.A.C., por la presentación de documentación falsa o inexacta en el Proceso por Competencia Menor Nº CME-0001-2008-OFP/PETROPERU.</w:t>
      </w:r>
    </w:p>
    <w:p w:rsidR="0065614C" w:rsidRPr="0065614C" w:rsidRDefault="0065614C" w:rsidP="0065614C">
      <w:pPr>
        <w:pStyle w:val="Textonotapie"/>
        <w:widowControl w:val="0"/>
        <w:suppressAutoHyphens/>
        <w:ind w:firstLine="567"/>
        <w:jc w:val="both"/>
        <w:rPr>
          <w:rFonts w:ascii="Tahoma" w:hAnsi="Tahoma" w:cs="Tahoma"/>
          <w:b/>
          <w:sz w:val="22"/>
          <w:szCs w:val="22"/>
        </w:rPr>
      </w:pPr>
    </w:p>
    <w:p w:rsidR="0065614C" w:rsidRPr="0065614C" w:rsidRDefault="0065614C" w:rsidP="0065614C">
      <w:pPr>
        <w:pStyle w:val="Prrafodelista"/>
        <w:numPr>
          <w:ilvl w:val="0"/>
          <w:numId w:val="1"/>
        </w:numPr>
        <w:ind w:left="567" w:hanging="425"/>
        <w:rPr>
          <w:rFonts w:ascii="Tahoma" w:hAnsi="Tahoma" w:cs="Tahoma"/>
          <w:b/>
          <w:sz w:val="22"/>
          <w:szCs w:val="22"/>
        </w:rPr>
      </w:pPr>
      <w:r w:rsidRPr="0065614C">
        <w:rPr>
          <w:rFonts w:ascii="Tahoma" w:hAnsi="Tahoma" w:cs="Tahoma"/>
          <w:b/>
          <w:sz w:val="22"/>
          <w:szCs w:val="22"/>
        </w:rPr>
        <w:t>ANTECEDENTES:</w:t>
      </w:r>
    </w:p>
    <w:p w:rsidR="0065614C" w:rsidRPr="0065614C" w:rsidRDefault="0065614C" w:rsidP="0065614C">
      <w:pPr>
        <w:jc w:val="both"/>
        <w:rPr>
          <w:rFonts w:ascii="Tahoma" w:hAnsi="Tahoma" w:cs="Tahoma"/>
          <w:b/>
          <w:sz w:val="22"/>
          <w:szCs w:val="22"/>
          <w:lang w:eastAsia="es-PE"/>
        </w:rPr>
      </w:pPr>
    </w:p>
    <w:p w:rsidR="0065614C" w:rsidRPr="0065614C" w:rsidRDefault="0065614C" w:rsidP="0065614C">
      <w:pPr>
        <w:pStyle w:val="Prrafodelista"/>
        <w:widowControl/>
        <w:numPr>
          <w:ilvl w:val="0"/>
          <w:numId w:val="2"/>
        </w:numPr>
        <w:suppressAutoHyphens w:val="0"/>
        <w:ind w:left="567" w:hanging="567"/>
        <w:contextualSpacing/>
        <w:jc w:val="both"/>
        <w:rPr>
          <w:rFonts w:ascii="Tahoma" w:hAnsi="Tahoma" w:cs="Tahoma"/>
          <w:sz w:val="22"/>
          <w:szCs w:val="22"/>
        </w:rPr>
      </w:pPr>
      <w:r w:rsidRPr="0065614C">
        <w:rPr>
          <w:rFonts w:ascii="Tahoma" w:hAnsi="Tahoma" w:cs="Tahoma"/>
          <w:sz w:val="22"/>
          <w:szCs w:val="22"/>
        </w:rPr>
        <w:t>Con fecha 10 de enero de 2008, Petróleos del Perú – PETROPERÚ S.A.C., en lo sucesivo la Entidad, convocó el proceso de selección por Competencia Menor Nº CME-0001-2008-OFP/PETROPERU, para la contratación del “Servicio fotocopiado para atender la demanda de las diferentes dependencias de Petroperú S.A. que se encuentran ubicadas en las instalaciones de su Oficina Principal y Terminal Callao”, por el valor referencial  de S/. 512,600.00 (Quinientos doce mil seiscientos y 00/100 Nuevos Soles).</w:t>
      </w:r>
    </w:p>
    <w:p w:rsidR="0065614C" w:rsidRPr="0065614C" w:rsidRDefault="0065614C" w:rsidP="0065614C">
      <w:pPr>
        <w:pStyle w:val="Prrafodelista"/>
        <w:ind w:left="567"/>
        <w:contextualSpacing/>
        <w:jc w:val="both"/>
        <w:rPr>
          <w:rFonts w:ascii="Tahoma" w:hAnsi="Tahoma" w:cs="Tahoma"/>
          <w:sz w:val="22"/>
          <w:szCs w:val="22"/>
        </w:rPr>
      </w:pPr>
    </w:p>
    <w:p w:rsidR="0065614C" w:rsidRPr="0065614C" w:rsidRDefault="0065614C" w:rsidP="0065614C">
      <w:pPr>
        <w:pStyle w:val="Prrafodelista"/>
        <w:widowControl/>
        <w:numPr>
          <w:ilvl w:val="0"/>
          <w:numId w:val="2"/>
        </w:numPr>
        <w:suppressAutoHyphens w:val="0"/>
        <w:ind w:left="567" w:hanging="567"/>
        <w:contextualSpacing/>
        <w:jc w:val="both"/>
        <w:rPr>
          <w:rFonts w:ascii="Tahoma" w:hAnsi="Tahoma" w:cs="Tahoma"/>
          <w:sz w:val="22"/>
          <w:szCs w:val="22"/>
        </w:rPr>
      </w:pPr>
      <w:r w:rsidRPr="0065614C">
        <w:rPr>
          <w:rFonts w:ascii="Tahoma" w:hAnsi="Tahoma" w:cs="Tahoma"/>
          <w:sz w:val="22"/>
          <w:szCs w:val="22"/>
        </w:rPr>
        <w:t>El 17 de enero de 2008, se llevó a cabo el acto de presentación de propuestas, presentándose como postores las empresas T-COPIA S.A.C., SERVICENTRO S.R.L. y COPIA EXPRESS S.A.C., en adelante el Postor.</w:t>
      </w:r>
    </w:p>
    <w:p w:rsidR="0065614C" w:rsidRPr="0065614C" w:rsidRDefault="0065614C" w:rsidP="0065614C">
      <w:pPr>
        <w:pStyle w:val="Prrafodelista"/>
        <w:ind w:left="567"/>
        <w:contextualSpacing/>
        <w:jc w:val="both"/>
        <w:rPr>
          <w:rFonts w:ascii="Tahoma" w:hAnsi="Tahoma" w:cs="Tahoma"/>
          <w:sz w:val="22"/>
          <w:szCs w:val="22"/>
        </w:rPr>
      </w:pPr>
    </w:p>
    <w:p w:rsidR="0065614C" w:rsidRPr="0065614C" w:rsidRDefault="0065614C" w:rsidP="0065614C">
      <w:pPr>
        <w:pStyle w:val="Prrafodelista"/>
        <w:widowControl/>
        <w:numPr>
          <w:ilvl w:val="0"/>
          <w:numId w:val="2"/>
        </w:numPr>
        <w:suppressAutoHyphens w:val="0"/>
        <w:ind w:left="567" w:hanging="567"/>
        <w:contextualSpacing/>
        <w:jc w:val="both"/>
        <w:rPr>
          <w:rFonts w:ascii="Tahoma" w:hAnsi="Tahoma" w:cs="Tahoma"/>
          <w:sz w:val="22"/>
          <w:szCs w:val="22"/>
        </w:rPr>
      </w:pPr>
      <w:r w:rsidRPr="0065614C">
        <w:rPr>
          <w:rFonts w:ascii="Tahoma" w:hAnsi="Tahoma" w:cs="Tahoma"/>
          <w:sz w:val="22"/>
          <w:szCs w:val="22"/>
        </w:rPr>
        <w:t>Con fecha 30 de enero de 2008, se otorgó la Buena Pro del referido proceso de selección a favor de la empresa SERVICENTRO S.R.L.</w:t>
      </w:r>
    </w:p>
    <w:p w:rsidR="0065614C" w:rsidRPr="0065614C" w:rsidRDefault="0065614C" w:rsidP="0065614C">
      <w:pPr>
        <w:pStyle w:val="Prrafodelista"/>
        <w:rPr>
          <w:rFonts w:ascii="Tahoma" w:hAnsi="Tahoma" w:cs="Tahoma"/>
          <w:sz w:val="22"/>
          <w:szCs w:val="22"/>
        </w:rPr>
      </w:pPr>
    </w:p>
    <w:p w:rsidR="0065614C" w:rsidRPr="0065614C" w:rsidRDefault="0065614C" w:rsidP="0065614C">
      <w:pPr>
        <w:pStyle w:val="Prrafodelista"/>
        <w:widowControl/>
        <w:numPr>
          <w:ilvl w:val="0"/>
          <w:numId w:val="2"/>
        </w:numPr>
        <w:suppressAutoHyphens w:val="0"/>
        <w:ind w:left="567" w:hanging="567"/>
        <w:contextualSpacing/>
        <w:jc w:val="both"/>
        <w:rPr>
          <w:rFonts w:ascii="Tahoma" w:hAnsi="Tahoma" w:cs="Tahoma"/>
          <w:sz w:val="22"/>
          <w:szCs w:val="22"/>
        </w:rPr>
      </w:pPr>
      <w:r w:rsidRPr="0065614C">
        <w:rPr>
          <w:rFonts w:ascii="Tahoma" w:hAnsi="Tahoma" w:cs="Tahoma"/>
          <w:sz w:val="22"/>
          <w:szCs w:val="22"/>
        </w:rPr>
        <w:t>El 04 de febrero de 2008, T-COPIA S.A.C interpuso recurso de apelación contra el otorgamiento de la Buena Pro a favor de SERVICENTRO S.R.L.</w:t>
      </w:r>
    </w:p>
    <w:p w:rsidR="0065614C" w:rsidRPr="0065614C" w:rsidRDefault="0065614C" w:rsidP="0065614C">
      <w:pPr>
        <w:pStyle w:val="Prrafodelista"/>
        <w:rPr>
          <w:rFonts w:ascii="Tahoma" w:hAnsi="Tahoma" w:cs="Tahoma"/>
          <w:sz w:val="22"/>
          <w:szCs w:val="22"/>
        </w:rPr>
      </w:pPr>
    </w:p>
    <w:p w:rsidR="0065614C" w:rsidRPr="0065614C" w:rsidRDefault="0065614C" w:rsidP="0065614C">
      <w:pPr>
        <w:pStyle w:val="Prrafodelista"/>
        <w:widowControl/>
        <w:numPr>
          <w:ilvl w:val="0"/>
          <w:numId w:val="2"/>
        </w:numPr>
        <w:suppressAutoHyphens w:val="0"/>
        <w:ind w:left="567" w:hanging="567"/>
        <w:contextualSpacing/>
        <w:jc w:val="both"/>
        <w:rPr>
          <w:rFonts w:ascii="Tahoma" w:hAnsi="Tahoma" w:cs="Tahoma"/>
          <w:sz w:val="22"/>
          <w:szCs w:val="22"/>
        </w:rPr>
      </w:pPr>
      <w:r w:rsidRPr="0065614C">
        <w:rPr>
          <w:rFonts w:ascii="Tahoma" w:hAnsi="Tahoma" w:cs="Tahoma"/>
          <w:sz w:val="22"/>
          <w:szCs w:val="22"/>
        </w:rPr>
        <w:t>A través de la Resolución de Gerencia de Departamento de Logística Nº GLOG-008-2008, se declaró fundado el recurso de apelación interpuesto por T-COPIA S.A.C, otorgándole la Buena Pro a su favor.</w:t>
      </w:r>
    </w:p>
    <w:p w:rsidR="0065614C" w:rsidRPr="0065614C" w:rsidRDefault="0065614C" w:rsidP="0065614C">
      <w:pPr>
        <w:pStyle w:val="Prrafodelista"/>
        <w:rPr>
          <w:rFonts w:ascii="Tahoma" w:hAnsi="Tahoma" w:cs="Tahoma"/>
          <w:sz w:val="22"/>
          <w:szCs w:val="22"/>
        </w:rPr>
      </w:pPr>
    </w:p>
    <w:p w:rsidR="0065614C" w:rsidRPr="0065614C" w:rsidRDefault="0065614C" w:rsidP="0065614C">
      <w:pPr>
        <w:pStyle w:val="Prrafodelista"/>
        <w:widowControl/>
        <w:numPr>
          <w:ilvl w:val="0"/>
          <w:numId w:val="2"/>
        </w:numPr>
        <w:suppressAutoHyphens w:val="0"/>
        <w:ind w:left="567" w:hanging="567"/>
        <w:contextualSpacing/>
        <w:jc w:val="both"/>
        <w:rPr>
          <w:rFonts w:ascii="Tahoma" w:hAnsi="Tahoma" w:cs="Tahoma"/>
          <w:sz w:val="22"/>
          <w:szCs w:val="22"/>
        </w:rPr>
      </w:pPr>
      <w:r w:rsidRPr="0065614C">
        <w:rPr>
          <w:rFonts w:ascii="Tahoma" w:hAnsi="Tahoma" w:cs="Tahoma"/>
          <w:sz w:val="22"/>
          <w:szCs w:val="22"/>
        </w:rPr>
        <w:t xml:space="preserve">Mediante escrito GLOG-UC-0955-2008, la Entidad puso en conocimiento de este Tribunal de Contrataciones del Estado, en adelante el Tribunal, sobre la presunta infracción cometida por la empresa COPIA EXPRESS S.A.C., en adelante el Postor, por haber incluido, como parte de su propuesta técnica, documentación falsa o inexacta, presentada en el proceso de selección por Competencia Menor </w:t>
      </w:r>
      <w:r w:rsidRPr="0065614C">
        <w:rPr>
          <w:rFonts w:ascii="Tahoma" w:hAnsi="Tahoma" w:cs="Tahoma"/>
          <w:sz w:val="22"/>
          <w:szCs w:val="22"/>
        </w:rPr>
        <w:lastRenderedPageBreak/>
        <w:t xml:space="preserve">Nº CME-0001-2008-OFP/PETROPERU, toda vez que en el Anexo A Características Técnicas de los equipos propuestos para la ejecución de servicio, ofreció fotocopiadoras Tipo A modelo AFICIO 2105, en el cual declaró que posee un sistema de revelado </w:t>
      </w:r>
      <w:proofErr w:type="spellStart"/>
      <w:r w:rsidRPr="0065614C">
        <w:rPr>
          <w:rFonts w:ascii="Tahoma" w:hAnsi="Tahoma" w:cs="Tahoma"/>
          <w:sz w:val="22"/>
          <w:szCs w:val="22"/>
        </w:rPr>
        <w:t>monocomponente</w:t>
      </w:r>
      <w:proofErr w:type="spellEnd"/>
      <w:r w:rsidRPr="0065614C">
        <w:rPr>
          <w:rFonts w:ascii="Tahoma" w:hAnsi="Tahoma" w:cs="Tahoma"/>
          <w:sz w:val="22"/>
          <w:szCs w:val="22"/>
        </w:rPr>
        <w:t xml:space="preserve">, no obstante ello, en el folleto técnico emitido por RICOH CORPORATION, referido al equipo AFICIO 2105, se observó que tiene un sistema de revelado </w:t>
      </w:r>
      <w:proofErr w:type="spellStart"/>
      <w:r w:rsidRPr="0065614C">
        <w:rPr>
          <w:rFonts w:ascii="Tahoma" w:hAnsi="Tahoma" w:cs="Tahoma"/>
          <w:sz w:val="22"/>
          <w:szCs w:val="22"/>
        </w:rPr>
        <w:t>dualcomponente</w:t>
      </w:r>
      <w:proofErr w:type="spellEnd"/>
      <w:r w:rsidRPr="0065614C">
        <w:rPr>
          <w:rFonts w:ascii="Tahoma" w:hAnsi="Tahoma" w:cs="Tahoma"/>
          <w:sz w:val="22"/>
          <w:szCs w:val="22"/>
        </w:rPr>
        <w:t>.</w:t>
      </w:r>
    </w:p>
    <w:p w:rsidR="0065614C" w:rsidRPr="0065614C" w:rsidRDefault="0065614C" w:rsidP="0065614C">
      <w:pPr>
        <w:pStyle w:val="Prrafodelista"/>
        <w:rPr>
          <w:rFonts w:ascii="Tahoma" w:hAnsi="Tahoma" w:cs="Tahoma"/>
          <w:sz w:val="22"/>
          <w:szCs w:val="22"/>
        </w:rPr>
      </w:pPr>
    </w:p>
    <w:p w:rsidR="0065614C" w:rsidRPr="0065614C" w:rsidRDefault="0065614C" w:rsidP="0065614C">
      <w:pPr>
        <w:numPr>
          <w:ilvl w:val="0"/>
          <w:numId w:val="2"/>
        </w:numPr>
        <w:ind w:left="567" w:hanging="567"/>
        <w:jc w:val="both"/>
        <w:rPr>
          <w:rFonts w:ascii="Tahoma" w:eastAsia="MS Mincho" w:hAnsi="Tahoma" w:cs="Tahoma"/>
          <w:sz w:val="22"/>
          <w:szCs w:val="22"/>
        </w:rPr>
      </w:pPr>
      <w:r w:rsidRPr="0065614C">
        <w:rPr>
          <w:rFonts w:ascii="Tahoma" w:eastAsia="MS Mincho" w:hAnsi="Tahoma" w:cs="Tahoma"/>
          <w:sz w:val="22"/>
          <w:szCs w:val="22"/>
        </w:rPr>
        <w:t xml:space="preserve">En atención a ello, a través del decreto de fecha 21 de diciembre de 2010, se inicio procedimiento administrativo sancionador contra el Postor, por supuesta responsabilidad al haber incluido, como parte de su propuesta técnica, el Anexo “A” Características Técnicas de los equipos propuestos para la ejecución del Servicio, documento supuestamente falso o inexacto, presentado en el marco del proceso de selección Competencia Menor Nº </w:t>
      </w:r>
      <w:r w:rsidRPr="0065614C">
        <w:rPr>
          <w:rFonts w:ascii="Tahoma" w:hAnsi="Tahoma" w:cs="Tahoma"/>
          <w:sz w:val="22"/>
          <w:szCs w:val="22"/>
        </w:rPr>
        <w:t>CME-0001-2008-OFP/PETROPERU</w:t>
      </w:r>
      <w:r w:rsidRPr="0065614C">
        <w:rPr>
          <w:rFonts w:ascii="Tahoma" w:eastAsia="MS Mincho" w:hAnsi="Tahoma" w:cs="Tahoma"/>
          <w:sz w:val="22"/>
          <w:szCs w:val="22"/>
        </w:rPr>
        <w:t>.</w:t>
      </w:r>
    </w:p>
    <w:p w:rsidR="0065614C" w:rsidRPr="0065614C" w:rsidRDefault="0065614C" w:rsidP="0065614C">
      <w:pPr>
        <w:jc w:val="both"/>
        <w:rPr>
          <w:rFonts w:ascii="Tahoma" w:eastAsia="MS Mincho" w:hAnsi="Tahoma" w:cs="Tahoma"/>
          <w:sz w:val="22"/>
          <w:szCs w:val="22"/>
        </w:rPr>
      </w:pPr>
    </w:p>
    <w:p w:rsidR="0065614C" w:rsidRPr="0065614C" w:rsidRDefault="0065614C" w:rsidP="0065614C">
      <w:pPr>
        <w:ind w:left="567"/>
        <w:jc w:val="both"/>
        <w:rPr>
          <w:rFonts w:ascii="Tahoma" w:eastAsia="MS Mincho" w:hAnsi="Tahoma" w:cs="Tahoma"/>
          <w:sz w:val="22"/>
          <w:szCs w:val="22"/>
        </w:rPr>
      </w:pPr>
      <w:r w:rsidRPr="0065614C">
        <w:rPr>
          <w:rFonts w:ascii="Tahoma" w:eastAsia="MS Mincho" w:hAnsi="Tahoma" w:cs="Tahoma"/>
          <w:sz w:val="22"/>
          <w:szCs w:val="22"/>
        </w:rPr>
        <w:t>Asimismo, se otorgó a dicha empresa un plazo de diez (10) días hábiles para que cumplan con presentar sus descargos, bajo apercibimiento de resolver el procedimiento sancionador con la documentación obrante en el expediente.</w:t>
      </w:r>
    </w:p>
    <w:p w:rsidR="0065614C" w:rsidRPr="0065614C" w:rsidRDefault="0065614C" w:rsidP="0065614C">
      <w:pPr>
        <w:ind w:left="709"/>
        <w:jc w:val="both"/>
        <w:rPr>
          <w:rFonts w:ascii="Tahoma" w:eastAsia="MS Mincho" w:hAnsi="Tahoma" w:cs="Tahoma"/>
          <w:sz w:val="22"/>
          <w:szCs w:val="22"/>
        </w:rPr>
      </w:pPr>
    </w:p>
    <w:p w:rsidR="0065614C" w:rsidRPr="0065614C" w:rsidRDefault="0065614C" w:rsidP="0065614C">
      <w:pPr>
        <w:numPr>
          <w:ilvl w:val="0"/>
          <w:numId w:val="2"/>
        </w:numPr>
        <w:ind w:left="567" w:hanging="567"/>
        <w:jc w:val="both"/>
        <w:rPr>
          <w:rFonts w:ascii="Tahoma" w:eastAsia="MS Mincho" w:hAnsi="Tahoma" w:cs="Tahoma"/>
          <w:sz w:val="22"/>
          <w:szCs w:val="22"/>
        </w:rPr>
      </w:pPr>
      <w:r w:rsidRPr="0065614C">
        <w:rPr>
          <w:rFonts w:ascii="Tahoma" w:eastAsia="MS Mincho" w:hAnsi="Tahoma" w:cs="Tahoma"/>
          <w:sz w:val="22"/>
          <w:szCs w:val="22"/>
        </w:rPr>
        <w:t>Teniendo en consideración que el Postor no cumplió con remitir sus descargos, mediante decreto de fecha 18 de enero de 2011, se hizo efectivo el apercibimiento de resolver con la documentación obrante en autos, y se remitió el presente expediente a la Primera Sala del Tribunal.</w:t>
      </w:r>
    </w:p>
    <w:p w:rsidR="0065614C" w:rsidRPr="0065614C" w:rsidRDefault="0065614C" w:rsidP="0065614C">
      <w:pPr>
        <w:ind w:left="567"/>
        <w:jc w:val="both"/>
        <w:rPr>
          <w:rFonts w:ascii="Tahoma" w:eastAsia="MS Mincho" w:hAnsi="Tahoma" w:cs="Tahoma"/>
          <w:sz w:val="22"/>
          <w:szCs w:val="22"/>
        </w:rPr>
      </w:pPr>
    </w:p>
    <w:p w:rsidR="0065614C" w:rsidRPr="0065614C" w:rsidRDefault="0065614C" w:rsidP="0065614C">
      <w:pPr>
        <w:numPr>
          <w:ilvl w:val="0"/>
          <w:numId w:val="2"/>
        </w:numPr>
        <w:ind w:left="567" w:hanging="567"/>
        <w:jc w:val="both"/>
        <w:rPr>
          <w:rFonts w:ascii="Tahoma" w:eastAsia="MS Mincho" w:hAnsi="Tahoma" w:cs="Tahoma"/>
          <w:sz w:val="22"/>
          <w:szCs w:val="22"/>
        </w:rPr>
      </w:pPr>
      <w:r w:rsidRPr="0065614C">
        <w:rPr>
          <w:rFonts w:ascii="Tahoma" w:eastAsia="MS Mincho" w:hAnsi="Tahoma" w:cs="Tahoma"/>
          <w:sz w:val="22"/>
          <w:szCs w:val="22"/>
        </w:rPr>
        <w:t xml:space="preserve">Mediante decreto de fecha 24 de enero de 2011, se solicitó a Secretaría del Tribunal que </w:t>
      </w:r>
      <w:r w:rsidRPr="0065614C">
        <w:rPr>
          <w:rFonts w:ascii="Tahoma" w:hAnsi="Tahoma" w:cs="Tahoma"/>
          <w:color w:val="000000" w:themeColor="text1"/>
          <w:sz w:val="22"/>
          <w:szCs w:val="22"/>
          <w:lang w:val="es-ES_tradnl"/>
        </w:rPr>
        <w:t>adjunte al presente expediente, copia del Informe Técnico Nº GLOG-0704-2008 de fecha 17 de marzo de 2008, obrante en el Expediente Nº 1465-2008.TC.</w:t>
      </w:r>
    </w:p>
    <w:p w:rsidR="0065614C" w:rsidRPr="0065614C" w:rsidRDefault="0065614C" w:rsidP="0065614C">
      <w:pPr>
        <w:rPr>
          <w:rFonts w:ascii="Tahoma" w:hAnsi="Tahoma" w:cs="Tahoma"/>
          <w:b/>
          <w:sz w:val="22"/>
          <w:szCs w:val="22"/>
          <w:lang w:val="es-ES_tradnl"/>
        </w:rPr>
      </w:pPr>
    </w:p>
    <w:p w:rsidR="0065614C" w:rsidRPr="0065614C" w:rsidRDefault="0065614C" w:rsidP="0065614C">
      <w:pPr>
        <w:pStyle w:val="Prrafodelista"/>
        <w:numPr>
          <w:ilvl w:val="0"/>
          <w:numId w:val="1"/>
        </w:numPr>
        <w:ind w:left="567" w:hanging="283"/>
        <w:rPr>
          <w:rFonts w:ascii="Tahoma" w:hAnsi="Tahoma" w:cs="Tahoma"/>
          <w:b/>
          <w:sz w:val="22"/>
          <w:szCs w:val="22"/>
        </w:rPr>
      </w:pPr>
      <w:r w:rsidRPr="0065614C">
        <w:rPr>
          <w:rFonts w:ascii="Tahoma" w:hAnsi="Tahoma" w:cs="Tahoma"/>
          <w:b/>
          <w:sz w:val="22"/>
          <w:szCs w:val="22"/>
        </w:rPr>
        <w:t>FUNDAMENTACIÓN</w:t>
      </w:r>
    </w:p>
    <w:p w:rsidR="0065614C" w:rsidRPr="0065614C" w:rsidRDefault="0065614C" w:rsidP="0065614C">
      <w:pPr>
        <w:ind w:left="426"/>
        <w:jc w:val="both"/>
        <w:rPr>
          <w:rFonts w:ascii="Tahoma" w:hAnsi="Tahoma" w:cs="Tahoma"/>
          <w:sz w:val="22"/>
          <w:szCs w:val="22"/>
          <w:lang w:eastAsia="es-PE"/>
        </w:rPr>
      </w:pPr>
    </w:p>
    <w:p w:rsidR="0065614C" w:rsidRPr="0065614C" w:rsidRDefault="0065614C" w:rsidP="0065614C">
      <w:pPr>
        <w:numPr>
          <w:ilvl w:val="0"/>
          <w:numId w:val="8"/>
        </w:numPr>
        <w:tabs>
          <w:tab w:val="clear" w:pos="360"/>
        </w:tabs>
        <w:ind w:left="567" w:hanging="567"/>
        <w:jc w:val="both"/>
        <w:rPr>
          <w:rFonts w:ascii="Tahoma" w:hAnsi="Tahoma" w:cs="Tahoma"/>
          <w:sz w:val="22"/>
          <w:szCs w:val="22"/>
        </w:rPr>
      </w:pPr>
      <w:r w:rsidRPr="0065614C">
        <w:rPr>
          <w:rFonts w:ascii="Tahoma" w:hAnsi="Tahoma" w:cs="Tahoma"/>
          <w:sz w:val="22"/>
          <w:szCs w:val="22"/>
        </w:rPr>
        <w:t>En el presente caso, el procedimiento administrativo sancionador se inició contra el Postor, por la presentación de documentación falsa o inexacta en el Proceso por Competencia Menor Nº CME-0001-2008-OFP/PETROPERU, infracción tipificada en el numeral 9) del artículo 294 del Reglamento</w:t>
      </w:r>
      <w:r w:rsidRPr="0065614C">
        <w:rPr>
          <w:rStyle w:val="Refdenotaalpie"/>
          <w:rFonts w:ascii="Tahoma" w:hAnsi="Tahoma" w:cs="Tahoma"/>
          <w:sz w:val="22"/>
          <w:szCs w:val="22"/>
        </w:rPr>
        <w:footnoteReference w:id="2"/>
      </w:r>
      <w:r w:rsidRPr="0065614C">
        <w:rPr>
          <w:rFonts w:ascii="Tahoma" w:hAnsi="Tahoma" w:cs="Tahoma"/>
          <w:sz w:val="22"/>
          <w:szCs w:val="22"/>
        </w:rPr>
        <w:t xml:space="preserve">, aprobado por Decreto Supremo Nº 084-2004-PCM, norma vigente al suscitarse los hechos imputados. </w:t>
      </w:r>
    </w:p>
    <w:p w:rsidR="0065614C" w:rsidRPr="0065614C" w:rsidRDefault="0065614C" w:rsidP="0065614C">
      <w:pPr>
        <w:ind w:left="567" w:hanging="567"/>
        <w:jc w:val="both"/>
        <w:rPr>
          <w:rFonts w:ascii="Tahoma" w:hAnsi="Tahoma" w:cs="Tahoma"/>
          <w:sz w:val="22"/>
          <w:szCs w:val="22"/>
        </w:rPr>
      </w:pPr>
    </w:p>
    <w:p w:rsidR="0065614C" w:rsidRPr="0065614C" w:rsidRDefault="0065614C" w:rsidP="0065614C">
      <w:pPr>
        <w:numPr>
          <w:ilvl w:val="0"/>
          <w:numId w:val="8"/>
        </w:numPr>
        <w:tabs>
          <w:tab w:val="clear" w:pos="360"/>
        </w:tabs>
        <w:ind w:left="567" w:hanging="567"/>
        <w:jc w:val="both"/>
        <w:rPr>
          <w:rFonts w:ascii="Tahoma" w:hAnsi="Tahoma" w:cs="Tahoma"/>
          <w:b/>
          <w:sz w:val="22"/>
          <w:szCs w:val="22"/>
        </w:rPr>
      </w:pPr>
      <w:r w:rsidRPr="0065614C">
        <w:rPr>
          <w:rFonts w:ascii="Tahoma" w:hAnsi="Tahoma" w:cs="Tahoma"/>
          <w:sz w:val="22"/>
          <w:szCs w:val="22"/>
        </w:rPr>
        <w:lastRenderedPageBreak/>
        <w:t>En principio, y como cuestión previa, corresponde verificar si el Tribunal es competente para resolver respecto de la imputación planteada por la Entidad, para lo cual deberá efectuarse un análisis sobre la normativa aplicable al presente caso.</w:t>
      </w:r>
    </w:p>
    <w:p w:rsidR="0065614C" w:rsidRPr="0065614C" w:rsidRDefault="0065614C" w:rsidP="0065614C">
      <w:pPr>
        <w:ind w:left="567" w:hanging="567"/>
        <w:jc w:val="both"/>
        <w:rPr>
          <w:rFonts w:ascii="Tahoma" w:hAnsi="Tahoma" w:cs="Tahoma"/>
          <w:b/>
          <w:sz w:val="22"/>
          <w:szCs w:val="22"/>
        </w:rPr>
      </w:pPr>
    </w:p>
    <w:p w:rsidR="0065614C" w:rsidRPr="0065614C" w:rsidRDefault="0065614C" w:rsidP="0065614C">
      <w:pPr>
        <w:pStyle w:val="Textoindependiente"/>
        <w:widowControl w:val="0"/>
        <w:numPr>
          <w:ilvl w:val="0"/>
          <w:numId w:val="8"/>
        </w:numPr>
        <w:tabs>
          <w:tab w:val="clear" w:pos="360"/>
        </w:tabs>
        <w:suppressAutoHyphens/>
        <w:spacing w:after="0"/>
        <w:ind w:left="567" w:hanging="567"/>
        <w:jc w:val="both"/>
        <w:rPr>
          <w:rFonts w:ascii="Tahoma" w:hAnsi="Tahoma" w:cs="Tahoma"/>
          <w:sz w:val="22"/>
          <w:szCs w:val="22"/>
        </w:rPr>
      </w:pPr>
      <w:r w:rsidRPr="0065614C">
        <w:rPr>
          <w:rFonts w:ascii="Tahoma" w:hAnsi="Tahoma" w:cs="Tahoma"/>
          <w:sz w:val="22"/>
          <w:szCs w:val="22"/>
        </w:rPr>
        <w:t>Habiéndose advertido que el presente proceso deviene de un proceso de selección por Competencia Menor, resulta pertinente evaluar el marco normativo que rige el citado proceso, a fin de determinar la competencia de este Tribunal en la denuncia que nos ocupa.</w:t>
      </w:r>
    </w:p>
    <w:p w:rsidR="0065614C" w:rsidRPr="0065614C" w:rsidRDefault="0065614C" w:rsidP="0065614C">
      <w:pPr>
        <w:pStyle w:val="Prrafodelista"/>
        <w:ind w:left="567" w:hanging="567"/>
        <w:jc w:val="both"/>
        <w:rPr>
          <w:rFonts w:ascii="Tahoma" w:hAnsi="Tahoma" w:cs="Tahoma"/>
          <w:sz w:val="22"/>
          <w:szCs w:val="22"/>
        </w:rPr>
      </w:pPr>
    </w:p>
    <w:p w:rsidR="0065614C" w:rsidRPr="0065614C" w:rsidRDefault="0065614C" w:rsidP="0065614C">
      <w:pPr>
        <w:pStyle w:val="Textoindependiente"/>
        <w:widowControl w:val="0"/>
        <w:numPr>
          <w:ilvl w:val="0"/>
          <w:numId w:val="8"/>
        </w:numPr>
        <w:tabs>
          <w:tab w:val="clear" w:pos="360"/>
        </w:tabs>
        <w:suppressAutoHyphens/>
        <w:spacing w:after="0"/>
        <w:ind w:left="567" w:hanging="567"/>
        <w:jc w:val="both"/>
        <w:rPr>
          <w:rFonts w:ascii="Tahoma" w:hAnsi="Tahoma" w:cs="Tahoma"/>
          <w:sz w:val="22"/>
          <w:szCs w:val="22"/>
        </w:rPr>
      </w:pPr>
      <w:r w:rsidRPr="0065614C">
        <w:rPr>
          <w:rFonts w:ascii="Tahoma" w:hAnsi="Tahoma" w:cs="Tahoma"/>
          <w:sz w:val="22"/>
          <w:szCs w:val="22"/>
        </w:rPr>
        <w:t>Por Ley Nº 28840</w:t>
      </w:r>
      <w:r w:rsidRPr="0065614C">
        <w:rPr>
          <w:rFonts w:ascii="Tahoma" w:hAnsi="Tahoma" w:cs="Tahoma"/>
          <w:sz w:val="22"/>
          <w:szCs w:val="22"/>
          <w:vertAlign w:val="superscript"/>
        </w:rPr>
        <w:footnoteReference w:id="3"/>
      </w:r>
      <w:r w:rsidRPr="0065614C">
        <w:rPr>
          <w:rFonts w:ascii="Tahoma" w:hAnsi="Tahoma" w:cs="Tahoma"/>
          <w:sz w:val="22"/>
          <w:szCs w:val="22"/>
        </w:rPr>
        <w:t>, se declaró de interés nacional el fortalecimiento y modernización de PETROPERÚ S.A., estableciendo que sus actividades deben desarrollarse en el marco de dicha Ley, su Ley Orgánica, el Decreto Legislativo Nº 43 y su modificatoria, la Ley Nº 26224, su Estatuto Social, y supletoriamente por las disposiciones de la Ley General de Sociedades.</w:t>
      </w:r>
    </w:p>
    <w:p w:rsidR="0065614C" w:rsidRPr="0065614C" w:rsidRDefault="0065614C" w:rsidP="0065614C">
      <w:pPr>
        <w:pStyle w:val="Prrafodelista"/>
        <w:ind w:left="567" w:hanging="567"/>
        <w:jc w:val="both"/>
        <w:rPr>
          <w:rFonts w:ascii="Tahoma" w:hAnsi="Tahoma" w:cs="Tahoma"/>
          <w:sz w:val="22"/>
          <w:szCs w:val="22"/>
        </w:rPr>
      </w:pPr>
    </w:p>
    <w:p w:rsidR="0065614C" w:rsidRPr="0065614C" w:rsidRDefault="0065614C" w:rsidP="0065614C">
      <w:pPr>
        <w:pStyle w:val="Textoindependiente"/>
        <w:widowControl w:val="0"/>
        <w:numPr>
          <w:ilvl w:val="0"/>
          <w:numId w:val="8"/>
        </w:numPr>
        <w:tabs>
          <w:tab w:val="clear" w:pos="360"/>
        </w:tabs>
        <w:suppressAutoHyphens/>
        <w:spacing w:after="0"/>
        <w:ind w:left="567" w:hanging="567"/>
        <w:jc w:val="both"/>
        <w:rPr>
          <w:rFonts w:ascii="Tahoma" w:hAnsi="Tahoma" w:cs="Tahoma"/>
          <w:sz w:val="22"/>
          <w:szCs w:val="22"/>
        </w:rPr>
      </w:pPr>
      <w:r w:rsidRPr="0065614C">
        <w:rPr>
          <w:rFonts w:ascii="Tahoma" w:hAnsi="Tahoma" w:cs="Tahoma"/>
          <w:sz w:val="22"/>
          <w:szCs w:val="22"/>
        </w:rPr>
        <w:t xml:space="preserve">La Segunda Disposición Complementaria de la Ley Nº 28840 refiere que las adquisiciones y contrataciones de PETROPERÚ S.A. se rigen por su Reglamento, propuesto por su Directorio y aprobado por el CONSUCODE. Asimismo, establece que las modalidades de adquisiciones y contrataciones de PETROPERÚ S.A. serán definidas en su Reglamento y se regirán por los principios de eficiencia, economía, transparencia y </w:t>
      </w:r>
      <w:proofErr w:type="spellStart"/>
      <w:r w:rsidRPr="0065614C">
        <w:rPr>
          <w:rFonts w:ascii="Tahoma" w:hAnsi="Tahoma" w:cs="Tahoma"/>
          <w:sz w:val="22"/>
          <w:szCs w:val="22"/>
        </w:rPr>
        <w:t>auditabilidad</w:t>
      </w:r>
      <w:proofErr w:type="spellEnd"/>
      <w:r w:rsidRPr="0065614C">
        <w:rPr>
          <w:rFonts w:ascii="Tahoma" w:hAnsi="Tahoma" w:cs="Tahoma"/>
          <w:sz w:val="22"/>
          <w:szCs w:val="22"/>
        </w:rPr>
        <w:t xml:space="preserve">, así como los demás principios contenidos en la legislación de la materia. </w:t>
      </w:r>
    </w:p>
    <w:p w:rsidR="0065614C" w:rsidRPr="0065614C" w:rsidRDefault="0065614C" w:rsidP="0065614C">
      <w:pPr>
        <w:pStyle w:val="Prrafodelista"/>
        <w:ind w:left="567" w:hanging="567"/>
        <w:jc w:val="both"/>
        <w:rPr>
          <w:rFonts w:ascii="Tahoma" w:hAnsi="Tahoma" w:cs="Tahoma"/>
          <w:sz w:val="22"/>
          <w:szCs w:val="22"/>
        </w:rPr>
      </w:pPr>
    </w:p>
    <w:p w:rsidR="0065614C" w:rsidRPr="0065614C" w:rsidRDefault="0065614C" w:rsidP="0065614C">
      <w:pPr>
        <w:pStyle w:val="Prrafodelista"/>
        <w:widowControl/>
        <w:numPr>
          <w:ilvl w:val="0"/>
          <w:numId w:val="8"/>
        </w:numPr>
        <w:tabs>
          <w:tab w:val="clear" w:pos="360"/>
        </w:tabs>
        <w:suppressAutoHyphens w:val="0"/>
        <w:autoSpaceDE w:val="0"/>
        <w:autoSpaceDN w:val="0"/>
        <w:adjustRightInd w:val="0"/>
        <w:ind w:left="567" w:hanging="567"/>
        <w:jc w:val="both"/>
        <w:rPr>
          <w:rFonts w:ascii="Tahoma" w:hAnsi="Tahoma" w:cs="Tahoma"/>
          <w:color w:val="000000"/>
          <w:sz w:val="22"/>
          <w:szCs w:val="22"/>
        </w:rPr>
      </w:pPr>
      <w:r w:rsidRPr="0065614C">
        <w:rPr>
          <w:rFonts w:ascii="Tahoma" w:hAnsi="Tahoma" w:cs="Tahoma"/>
          <w:color w:val="000000"/>
          <w:sz w:val="22"/>
          <w:szCs w:val="22"/>
        </w:rPr>
        <w:t>Mediante Resolución Nº 456-2006-CONSUCODE-PRE</w:t>
      </w:r>
      <w:r w:rsidRPr="0065614C">
        <w:rPr>
          <w:rStyle w:val="Refdenotaalpie"/>
          <w:rFonts w:ascii="Tahoma" w:hAnsi="Tahoma" w:cs="Tahoma"/>
          <w:color w:val="000000"/>
          <w:sz w:val="22"/>
          <w:szCs w:val="22"/>
        </w:rPr>
        <w:footnoteReference w:id="4"/>
      </w:r>
      <w:r w:rsidRPr="0065614C">
        <w:rPr>
          <w:rFonts w:ascii="Tahoma" w:hAnsi="Tahoma" w:cs="Tahoma"/>
          <w:color w:val="000000"/>
          <w:sz w:val="22"/>
          <w:szCs w:val="22"/>
        </w:rPr>
        <w:t xml:space="preserve"> de fecha 24 de octubre de 2006, se aprobó el Reglamento de Adquisiciones y Contrataciones, así como el Reglamento de Gestión de la Base de Datos de Proveedores Calificados de PETROPERÚ S.A.</w:t>
      </w:r>
    </w:p>
    <w:p w:rsidR="0065614C" w:rsidRPr="0065614C" w:rsidRDefault="0065614C" w:rsidP="0065614C">
      <w:pPr>
        <w:pStyle w:val="Prrafodelista"/>
        <w:ind w:left="567" w:hanging="567"/>
        <w:jc w:val="both"/>
        <w:rPr>
          <w:rFonts w:ascii="Tahoma" w:hAnsi="Tahoma" w:cs="Tahoma"/>
          <w:color w:val="000000"/>
          <w:sz w:val="22"/>
          <w:szCs w:val="22"/>
        </w:rPr>
      </w:pPr>
    </w:p>
    <w:p w:rsidR="0065614C" w:rsidRPr="0065614C" w:rsidRDefault="0065614C" w:rsidP="0065614C">
      <w:pPr>
        <w:pStyle w:val="Prrafodelista"/>
        <w:widowControl/>
        <w:numPr>
          <w:ilvl w:val="0"/>
          <w:numId w:val="8"/>
        </w:numPr>
        <w:tabs>
          <w:tab w:val="clear" w:pos="360"/>
        </w:tabs>
        <w:suppressAutoHyphens w:val="0"/>
        <w:autoSpaceDE w:val="0"/>
        <w:autoSpaceDN w:val="0"/>
        <w:adjustRightInd w:val="0"/>
        <w:ind w:left="567" w:hanging="567"/>
        <w:jc w:val="both"/>
        <w:rPr>
          <w:rFonts w:ascii="Tahoma" w:hAnsi="Tahoma" w:cs="Tahoma"/>
          <w:color w:val="000000"/>
          <w:sz w:val="22"/>
          <w:szCs w:val="22"/>
        </w:rPr>
      </w:pPr>
      <w:r w:rsidRPr="0065614C">
        <w:rPr>
          <w:rFonts w:ascii="Tahoma" w:hAnsi="Tahoma" w:cs="Tahoma"/>
          <w:sz w:val="22"/>
          <w:szCs w:val="22"/>
        </w:rPr>
        <w:t>De acuerdo a lo previsto en el numeral 9 del Reglamento de Gestión de Datos de Proveedores Calificados de PETROPERÚ S.A., en adelante Reglamento de PETROPERU, es función del Comité de Calificación de Proveedores, entre otras, imponer sanciones a los proveedores calificados, considerando las causales y el procedimiento expresamente previsto en el Reglamento.  Asimismo, el numeral 14 del indicado cuerpo reglamentario</w:t>
      </w:r>
      <w:r w:rsidRPr="0065614C">
        <w:rPr>
          <w:rFonts w:ascii="Tahoma" w:hAnsi="Tahoma" w:cs="Tahoma"/>
          <w:color w:val="000000"/>
          <w:sz w:val="22"/>
          <w:szCs w:val="22"/>
        </w:rPr>
        <w:t xml:space="preserve">, establecía cuáles eran las causales de aplicación de sanción a los proveedores calificados, disponiendo que el respectivo procedimiento administrativo sancionador será iniciado por el Comité de Calificación de Proveedores, cuya resolución podía ser apelada ante la Gerencia </w:t>
      </w:r>
      <w:r w:rsidRPr="0065614C">
        <w:rPr>
          <w:rFonts w:ascii="Tahoma" w:hAnsi="Tahoma" w:cs="Tahoma"/>
          <w:color w:val="000000"/>
          <w:sz w:val="22"/>
          <w:szCs w:val="22"/>
        </w:rPr>
        <w:lastRenderedPageBreak/>
        <w:t xml:space="preserve">General, con cuyo pronunciamiento quedaría agotada la vía administrativa.  </w:t>
      </w:r>
      <w:r w:rsidRPr="0065614C">
        <w:rPr>
          <w:rFonts w:ascii="Tahoma" w:hAnsi="Tahoma" w:cs="Tahoma"/>
          <w:color w:val="000000"/>
          <w:sz w:val="22"/>
          <w:szCs w:val="22"/>
          <w:u w:val="single"/>
        </w:rPr>
        <w:t>La decisión del Comité de Calificación de Proveedores debía ser informada al Administrador de la Base de Datos de Proveedores Calificados</w:t>
      </w:r>
      <w:r w:rsidRPr="0065614C">
        <w:rPr>
          <w:rFonts w:ascii="Tahoma" w:hAnsi="Tahoma" w:cs="Tahoma"/>
          <w:color w:val="000000"/>
          <w:sz w:val="22"/>
          <w:szCs w:val="22"/>
        </w:rPr>
        <w:t>.</w:t>
      </w:r>
    </w:p>
    <w:p w:rsidR="0065614C" w:rsidRPr="0065614C" w:rsidRDefault="0065614C" w:rsidP="0065614C">
      <w:pPr>
        <w:pStyle w:val="Prrafodelista"/>
        <w:ind w:left="567" w:hanging="567"/>
        <w:jc w:val="both"/>
        <w:rPr>
          <w:rFonts w:ascii="Tahoma" w:hAnsi="Tahoma" w:cs="Tahoma"/>
          <w:color w:val="000000"/>
          <w:sz w:val="22"/>
          <w:szCs w:val="22"/>
        </w:rPr>
      </w:pPr>
    </w:p>
    <w:p w:rsidR="0065614C" w:rsidRPr="0065614C" w:rsidRDefault="0065614C" w:rsidP="0065614C">
      <w:pPr>
        <w:pStyle w:val="Prrafodelista"/>
        <w:widowControl/>
        <w:numPr>
          <w:ilvl w:val="0"/>
          <w:numId w:val="8"/>
        </w:numPr>
        <w:tabs>
          <w:tab w:val="clear" w:pos="360"/>
        </w:tabs>
        <w:suppressAutoHyphens w:val="0"/>
        <w:autoSpaceDE w:val="0"/>
        <w:autoSpaceDN w:val="0"/>
        <w:adjustRightInd w:val="0"/>
        <w:ind w:left="567" w:hanging="567"/>
        <w:jc w:val="both"/>
        <w:rPr>
          <w:rFonts w:ascii="Tahoma" w:hAnsi="Tahoma" w:cs="Tahoma"/>
          <w:color w:val="000000"/>
          <w:sz w:val="22"/>
          <w:szCs w:val="22"/>
        </w:rPr>
      </w:pPr>
      <w:r w:rsidRPr="0065614C">
        <w:rPr>
          <w:rFonts w:ascii="Tahoma" w:hAnsi="Tahoma" w:cs="Tahoma"/>
          <w:color w:val="000000"/>
          <w:sz w:val="22"/>
          <w:szCs w:val="22"/>
        </w:rPr>
        <w:t>El numeral 17 del Reglamento de PETROPERU disponía que la Entidad estaba obligada a poner en conocimiento del Tribunal los casos en los que hubiese aplicado sanción de suspensión o exclusión para participar en procesos de selección convocados por PETROPERÚ S.A., a efectos que inicie el Procedimiento Administrativo Sancionador a que se refiere la normativa de contrataciones y adquisiciones del Estado.</w:t>
      </w:r>
    </w:p>
    <w:p w:rsidR="0065614C" w:rsidRPr="0065614C" w:rsidRDefault="0065614C" w:rsidP="0065614C">
      <w:pPr>
        <w:pStyle w:val="Prrafodelista"/>
        <w:ind w:left="567" w:hanging="567"/>
        <w:jc w:val="both"/>
        <w:rPr>
          <w:rFonts w:ascii="Tahoma" w:hAnsi="Tahoma" w:cs="Tahoma"/>
          <w:color w:val="000000"/>
          <w:sz w:val="22"/>
          <w:szCs w:val="22"/>
        </w:rPr>
      </w:pPr>
    </w:p>
    <w:p w:rsidR="0065614C" w:rsidRPr="0065614C" w:rsidRDefault="0065614C" w:rsidP="0065614C">
      <w:pPr>
        <w:pStyle w:val="Prrafodelista"/>
        <w:widowControl/>
        <w:numPr>
          <w:ilvl w:val="0"/>
          <w:numId w:val="8"/>
        </w:numPr>
        <w:tabs>
          <w:tab w:val="clear" w:pos="360"/>
        </w:tabs>
        <w:suppressAutoHyphens w:val="0"/>
        <w:autoSpaceDE w:val="0"/>
        <w:autoSpaceDN w:val="0"/>
        <w:adjustRightInd w:val="0"/>
        <w:ind w:left="567" w:hanging="567"/>
        <w:jc w:val="both"/>
        <w:rPr>
          <w:rFonts w:ascii="Tahoma" w:hAnsi="Tahoma" w:cs="Tahoma"/>
          <w:color w:val="000000"/>
          <w:sz w:val="22"/>
          <w:szCs w:val="22"/>
        </w:rPr>
      </w:pPr>
      <w:r w:rsidRPr="0065614C">
        <w:rPr>
          <w:rFonts w:ascii="Tahoma" w:hAnsi="Tahoma" w:cs="Tahoma"/>
          <w:color w:val="000000"/>
          <w:sz w:val="22"/>
          <w:szCs w:val="22"/>
        </w:rPr>
        <w:t xml:space="preserve">Teniendo en cuenta que a la fecha de remisión del presente expediente al Tribunal, no se ha conformado el Comité de Calificación de Proveedores, así como tampoco se ha implementado la Base de Datos de Proveedores Calificados; dicha Entidad ha omitido pronunciarse acerca de la aplicación de sanción en casos en los que se presume que un postor ha incurrido en alguna de las infracciones previstas en el Reglamento de PETROPERU; y, como consecuencia de ello, ha elevado dicho expediente a conocimiento del Tribunal. </w:t>
      </w:r>
    </w:p>
    <w:p w:rsidR="0065614C" w:rsidRPr="0065614C" w:rsidRDefault="0065614C" w:rsidP="0065614C">
      <w:pPr>
        <w:pStyle w:val="Prrafodelista"/>
        <w:ind w:left="567" w:hanging="567"/>
        <w:jc w:val="both"/>
        <w:rPr>
          <w:rFonts w:ascii="Tahoma" w:hAnsi="Tahoma" w:cs="Tahoma"/>
          <w:color w:val="000000"/>
          <w:sz w:val="22"/>
          <w:szCs w:val="22"/>
        </w:rPr>
      </w:pPr>
    </w:p>
    <w:p w:rsidR="0065614C" w:rsidRPr="0065614C" w:rsidRDefault="0065614C" w:rsidP="0065614C">
      <w:pPr>
        <w:pStyle w:val="Prrafodelista"/>
        <w:widowControl/>
        <w:numPr>
          <w:ilvl w:val="0"/>
          <w:numId w:val="8"/>
        </w:numPr>
        <w:tabs>
          <w:tab w:val="clear" w:pos="360"/>
        </w:tabs>
        <w:suppressAutoHyphens w:val="0"/>
        <w:autoSpaceDE w:val="0"/>
        <w:autoSpaceDN w:val="0"/>
        <w:adjustRightInd w:val="0"/>
        <w:ind w:left="567" w:hanging="567"/>
        <w:jc w:val="both"/>
        <w:rPr>
          <w:rFonts w:ascii="Tahoma" w:hAnsi="Tahoma" w:cs="Tahoma"/>
          <w:color w:val="000000"/>
          <w:sz w:val="22"/>
          <w:szCs w:val="22"/>
        </w:rPr>
      </w:pPr>
      <w:r w:rsidRPr="0065614C">
        <w:rPr>
          <w:rFonts w:ascii="Tahoma" w:hAnsi="Tahoma" w:cs="Tahoma"/>
          <w:color w:val="000000"/>
          <w:sz w:val="22"/>
          <w:szCs w:val="22"/>
        </w:rPr>
        <w:t>Cabe señalar que la Ley Nº 28840, no hace referencia alguna respecto de la entidad a la que le corresponderá ejercer la facultad sancionadora, en caso que durante un proceso de selección algún proveedor, participante, postor o contratista incurra en infracción.</w:t>
      </w:r>
    </w:p>
    <w:p w:rsidR="0065614C" w:rsidRPr="0065614C" w:rsidRDefault="0065614C" w:rsidP="0065614C">
      <w:pPr>
        <w:pStyle w:val="Prrafodelista"/>
        <w:autoSpaceDE w:val="0"/>
        <w:autoSpaceDN w:val="0"/>
        <w:adjustRightInd w:val="0"/>
        <w:ind w:left="567" w:hanging="567"/>
        <w:jc w:val="both"/>
        <w:rPr>
          <w:rFonts w:ascii="Tahoma" w:hAnsi="Tahoma" w:cs="Tahoma"/>
          <w:color w:val="000000"/>
          <w:sz w:val="22"/>
          <w:szCs w:val="22"/>
        </w:rPr>
      </w:pPr>
    </w:p>
    <w:p w:rsidR="0065614C" w:rsidRPr="0065614C" w:rsidRDefault="0065614C" w:rsidP="0065614C">
      <w:pPr>
        <w:pStyle w:val="Prrafodelista"/>
        <w:widowControl/>
        <w:numPr>
          <w:ilvl w:val="0"/>
          <w:numId w:val="8"/>
        </w:numPr>
        <w:tabs>
          <w:tab w:val="clear" w:pos="360"/>
        </w:tabs>
        <w:suppressAutoHyphens w:val="0"/>
        <w:autoSpaceDE w:val="0"/>
        <w:autoSpaceDN w:val="0"/>
        <w:adjustRightInd w:val="0"/>
        <w:ind w:left="567" w:hanging="567"/>
        <w:jc w:val="both"/>
        <w:rPr>
          <w:rFonts w:ascii="Tahoma" w:hAnsi="Tahoma" w:cs="Tahoma"/>
          <w:color w:val="000000"/>
          <w:sz w:val="22"/>
          <w:szCs w:val="22"/>
        </w:rPr>
      </w:pPr>
      <w:r w:rsidRPr="0065614C">
        <w:rPr>
          <w:rFonts w:ascii="Tahoma" w:hAnsi="Tahoma" w:cs="Tahoma"/>
          <w:color w:val="000000"/>
          <w:sz w:val="22"/>
          <w:szCs w:val="22"/>
        </w:rPr>
        <w:t xml:space="preserve">Sobre el particular, es relevante señalar que de acuerdo al </w:t>
      </w:r>
      <w:r w:rsidRPr="0065614C">
        <w:rPr>
          <w:rFonts w:ascii="Tahoma" w:hAnsi="Tahoma" w:cs="Tahoma"/>
          <w:i/>
          <w:iCs/>
          <w:color w:val="000000"/>
          <w:sz w:val="22"/>
          <w:szCs w:val="22"/>
        </w:rPr>
        <w:t>Principio de Legalidad</w:t>
      </w:r>
      <w:r w:rsidRPr="0065614C">
        <w:rPr>
          <w:rFonts w:ascii="Tahoma" w:hAnsi="Tahoma" w:cs="Tahoma"/>
          <w:color w:val="000000"/>
          <w:sz w:val="22"/>
          <w:szCs w:val="22"/>
        </w:rPr>
        <w:t xml:space="preserve"> consagrado en el numeral 1 del artículo 230 de la Ley Nº 27444, Ley del Procedimiento Administrativo General, sólo por norma con rango de ley cabe atribuir a las entidades la potestad sancionadora y la consiguiente previsión de las consecuencias administrativas que a título de sanción son posibles de aplicar a un administrado.</w:t>
      </w:r>
    </w:p>
    <w:p w:rsidR="0065614C" w:rsidRPr="0065614C" w:rsidRDefault="0065614C" w:rsidP="0065614C">
      <w:pPr>
        <w:pStyle w:val="Prrafodelista"/>
        <w:autoSpaceDE w:val="0"/>
        <w:autoSpaceDN w:val="0"/>
        <w:adjustRightInd w:val="0"/>
        <w:ind w:left="567" w:hanging="567"/>
        <w:jc w:val="both"/>
        <w:rPr>
          <w:rFonts w:ascii="Tahoma" w:hAnsi="Tahoma" w:cs="Tahoma"/>
          <w:color w:val="000000"/>
          <w:sz w:val="22"/>
          <w:szCs w:val="22"/>
        </w:rPr>
      </w:pPr>
    </w:p>
    <w:p w:rsidR="0065614C" w:rsidRPr="0065614C" w:rsidRDefault="0065614C" w:rsidP="0065614C">
      <w:pPr>
        <w:numPr>
          <w:ilvl w:val="0"/>
          <w:numId w:val="8"/>
        </w:numPr>
        <w:tabs>
          <w:tab w:val="clear" w:pos="360"/>
        </w:tabs>
        <w:ind w:left="567" w:hanging="567"/>
        <w:jc w:val="both"/>
        <w:rPr>
          <w:rFonts w:ascii="Tahoma" w:hAnsi="Tahoma" w:cs="Tahoma"/>
          <w:sz w:val="22"/>
          <w:szCs w:val="22"/>
        </w:rPr>
      </w:pPr>
      <w:r w:rsidRPr="0065614C">
        <w:rPr>
          <w:rFonts w:ascii="Tahoma" w:hAnsi="Tahoma" w:cs="Tahoma"/>
          <w:color w:val="000000"/>
          <w:sz w:val="22"/>
          <w:szCs w:val="22"/>
        </w:rPr>
        <w:t xml:space="preserve">En este punto, el Tribunal Constitucional ha determinado que el </w:t>
      </w:r>
      <w:r w:rsidRPr="0065614C">
        <w:rPr>
          <w:rFonts w:ascii="Tahoma" w:hAnsi="Tahoma" w:cs="Tahoma"/>
          <w:i/>
          <w:iCs/>
          <w:color w:val="000000"/>
          <w:sz w:val="22"/>
          <w:szCs w:val="22"/>
        </w:rPr>
        <w:t>principio de legalidad</w:t>
      </w:r>
      <w:r w:rsidRPr="0065614C">
        <w:rPr>
          <w:rFonts w:ascii="Tahoma" w:hAnsi="Tahoma" w:cs="Tahoma"/>
          <w:color w:val="000000"/>
          <w:sz w:val="22"/>
          <w:szCs w:val="22"/>
        </w:rPr>
        <w:t xml:space="preserve"> en materia sancionadora se informa de varios elementos que son compartidos, en parte por la sanción penal y administrativa y, en otra parte, son privativos del ámbito penal. Corresponden a ambos ámbitos los siguientes elementos o principios: i) No se puede atribuir faltas ni aplicar sanciones que no hayan sido previamente determinadas por la Ley.</w:t>
      </w:r>
      <w:r w:rsidRPr="0065614C">
        <w:rPr>
          <w:rStyle w:val="Refdenotaalpie"/>
          <w:rFonts w:ascii="Tahoma" w:hAnsi="Tahoma" w:cs="Tahoma"/>
          <w:color w:val="000000"/>
          <w:sz w:val="22"/>
          <w:szCs w:val="22"/>
        </w:rPr>
        <w:footnoteReference w:id="5"/>
      </w:r>
      <w:r w:rsidRPr="0065614C">
        <w:rPr>
          <w:rFonts w:ascii="Tahoma" w:hAnsi="Tahoma" w:cs="Tahoma"/>
          <w:color w:val="000000"/>
          <w:sz w:val="22"/>
          <w:szCs w:val="22"/>
        </w:rPr>
        <w:t xml:space="preserve"> </w:t>
      </w:r>
      <w:r w:rsidRPr="0065614C">
        <w:rPr>
          <w:rFonts w:ascii="Tahoma" w:hAnsi="Tahoma" w:cs="Tahoma"/>
          <w:sz w:val="22"/>
          <w:szCs w:val="22"/>
        </w:rPr>
        <w:t xml:space="preserve">Este es el principio de </w:t>
      </w:r>
      <w:r w:rsidRPr="0065614C">
        <w:rPr>
          <w:rFonts w:ascii="Tahoma" w:hAnsi="Tahoma" w:cs="Tahoma"/>
          <w:sz w:val="22"/>
          <w:szCs w:val="22"/>
        </w:rPr>
        <w:lastRenderedPageBreak/>
        <w:t xml:space="preserve">legalidad que el Tribunal llama formal, y consiste en el rango que debe tener la norma que establece las conductas sancionables. No se vincula con el </w:t>
      </w:r>
      <w:r w:rsidRPr="0065614C">
        <w:rPr>
          <w:rFonts w:ascii="Tahoma" w:hAnsi="Tahoma" w:cs="Tahoma"/>
          <w:i/>
          <w:iCs/>
          <w:sz w:val="22"/>
          <w:szCs w:val="22"/>
        </w:rPr>
        <w:t>principio de tipificación</w:t>
      </w:r>
      <w:r w:rsidRPr="0065614C">
        <w:rPr>
          <w:rFonts w:ascii="Tahoma" w:hAnsi="Tahoma" w:cs="Tahoma"/>
          <w:sz w:val="22"/>
          <w:szCs w:val="22"/>
        </w:rPr>
        <w:t>, que consiste en el enunciado o descripción precisa y detallada de las conductas que hay que sancionar y que es materia de contenido, no de forma. El Tribunal Constitucional ha determinado que es el rango de Ley aquel que debe establecer las faltas sancionables, tanto en el ámbito penal como administrativo</w:t>
      </w:r>
      <w:r w:rsidRPr="0065614C">
        <w:rPr>
          <w:rStyle w:val="Refdenotaalpie"/>
          <w:rFonts w:ascii="Tahoma" w:hAnsi="Tahoma" w:cs="Tahoma"/>
          <w:color w:val="000000"/>
          <w:sz w:val="22"/>
          <w:szCs w:val="22"/>
        </w:rPr>
        <w:footnoteReference w:id="6"/>
      </w:r>
      <w:r w:rsidRPr="0065614C">
        <w:rPr>
          <w:rFonts w:ascii="Tahoma" w:hAnsi="Tahoma" w:cs="Tahoma"/>
          <w:color w:val="000000"/>
          <w:sz w:val="22"/>
          <w:szCs w:val="22"/>
        </w:rPr>
        <w:t xml:space="preserve">, pero que, cuando se trata de sanciones administrativas, </w:t>
      </w:r>
      <w:r w:rsidRPr="0065614C">
        <w:rPr>
          <w:rFonts w:ascii="Tahoma" w:hAnsi="Tahoma" w:cs="Tahoma"/>
          <w:b/>
          <w:bCs/>
          <w:color w:val="000000"/>
          <w:sz w:val="22"/>
          <w:szCs w:val="22"/>
        </w:rPr>
        <w:t>la reserva para el rango de Ley no es absoluta y, en consecuencia, se puede aceptar la colaboración del Reglamento con la Ley en la determinación de las conductas sancionables</w:t>
      </w:r>
      <w:r w:rsidRPr="0065614C">
        <w:rPr>
          <w:rFonts w:ascii="Tahoma" w:hAnsi="Tahoma" w:cs="Tahoma"/>
          <w:color w:val="000000"/>
          <w:sz w:val="22"/>
          <w:szCs w:val="22"/>
        </w:rPr>
        <w:t>. Sin embargo, colaboración es diferente que sustitución, lo que equivale a decir que el Reglamento puede complementar y detallar la norma con rango de Ley, pero no sustituirla cuando se trate de atribuir faltas o determinar sanciones.</w:t>
      </w:r>
    </w:p>
    <w:p w:rsidR="0065614C" w:rsidRPr="0065614C" w:rsidRDefault="0065614C" w:rsidP="0065614C">
      <w:pPr>
        <w:ind w:left="567" w:hanging="567"/>
        <w:jc w:val="both"/>
        <w:rPr>
          <w:rFonts w:ascii="Tahoma" w:hAnsi="Tahoma" w:cs="Tahoma"/>
          <w:sz w:val="22"/>
          <w:szCs w:val="22"/>
        </w:rPr>
      </w:pPr>
    </w:p>
    <w:p w:rsidR="0065614C" w:rsidRPr="0065614C" w:rsidRDefault="0065614C" w:rsidP="0065614C">
      <w:pPr>
        <w:pStyle w:val="Prrafodelista"/>
        <w:widowControl/>
        <w:numPr>
          <w:ilvl w:val="0"/>
          <w:numId w:val="8"/>
        </w:numPr>
        <w:tabs>
          <w:tab w:val="clear" w:pos="360"/>
        </w:tabs>
        <w:suppressAutoHyphens w:val="0"/>
        <w:autoSpaceDE w:val="0"/>
        <w:autoSpaceDN w:val="0"/>
        <w:adjustRightInd w:val="0"/>
        <w:ind w:left="567" w:hanging="567"/>
        <w:jc w:val="both"/>
        <w:rPr>
          <w:rFonts w:ascii="Tahoma" w:hAnsi="Tahoma" w:cs="Tahoma"/>
          <w:color w:val="000000"/>
          <w:sz w:val="22"/>
          <w:szCs w:val="22"/>
        </w:rPr>
      </w:pPr>
      <w:r w:rsidRPr="0065614C">
        <w:rPr>
          <w:rFonts w:ascii="Tahoma" w:hAnsi="Tahoma" w:cs="Tahoma"/>
          <w:color w:val="000000"/>
          <w:sz w:val="22"/>
          <w:szCs w:val="22"/>
        </w:rPr>
        <w:t xml:space="preserve">En el marco de lo expresado anteriormente, es posible colegir que el Reglamento de Gestión de Datos de Proveedores Calificados de PETROPERÚ S.A., aprobado mediante Resolución Nº 456-2006-CONSUCODE-PRE, contraviene el </w:t>
      </w:r>
      <w:r w:rsidRPr="0065614C">
        <w:rPr>
          <w:rFonts w:ascii="Tahoma" w:hAnsi="Tahoma" w:cs="Tahoma"/>
          <w:i/>
          <w:iCs/>
          <w:color w:val="000000"/>
          <w:sz w:val="22"/>
          <w:szCs w:val="22"/>
        </w:rPr>
        <w:t xml:space="preserve">Principio de Legalidad </w:t>
      </w:r>
      <w:r w:rsidRPr="0065614C">
        <w:rPr>
          <w:rFonts w:ascii="Tahoma" w:hAnsi="Tahoma" w:cs="Tahoma"/>
          <w:color w:val="000000"/>
          <w:sz w:val="22"/>
          <w:szCs w:val="22"/>
        </w:rPr>
        <w:t>antes acotado, al haber otorgado potestad sancionadora a un órgano cuya facultad no es atribuida por mandato legal</w:t>
      </w:r>
      <w:r w:rsidRPr="0065614C">
        <w:rPr>
          <w:rStyle w:val="Refdenotaalpie"/>
          <w:rFonts w:ascii="Tahoma" w:hAnsi="Tahoma" w:cs="Tahoma"/>
          <w:color w:val="000000"/>
          <w:sz w:val="22"/>
          <w:szCs w:val="22"/>
        </w:rPr>
        <w:footnoteReference w:id="7"/>
      </w:r>
      <w:r w:rsidRPr="0065614C">
        <w:rPr>
          <w:rFonts w:ascii="Tahoma" w:hAnsi="Tahoma" w:cs="Tahoma"/>
          <w:color w:val="000000"/>
          <w:sz w:val="22"/>
          <w:szCs w:val="22"/>
        </w:rPr>
        <w:t>.</w:t>
      </w:r>
    </w:p>
    <w:p w:rsidR="0065614C" w:rsidRPr="0065614C" w:rsidRDefault="0065614C" w:rsidP="0065614C">
      <w:pPr>
        <w:pStyle w:val="Prrafodelista"/>
        <w:autoSpaceDE w:val="0"/>
        <w:autoSpaceDN w:val="0"/>
        <w:adjustRightInd w:val="0"/>
        <w:ind w:left="567" w:hanging="567"/>
        <w:jc w:val="both"/>
        <w:rPr>
          <w:rFonts w:ascii="Tahoma" w:hAnsi="Tahoma" w:cs="Tahoma"/>
          <w:color w:val="000000"/>
          <w:sz w:val="22"/>
          <w:szCs w:val="22"/>
        </w:rPr>
      </w:pPr>
    </w:p>
    <w:p w:rsidR="0065614C" w:rsidRPr="0065614C" w:rsidRDefault="0065614C" w:rsidP="0065614C">
      <w:pPr>
        <w:pStyle w:val="Prrafodelista"/>
        <w:widowControl/>
        <w:numPr>
          <w:ilvl w:val="0"/>
          <w:numId w:val="8"/>
        </w:numPr>
        <w:tabs>
          <w:tab w:val="clear" w:pos="360"/>
        </w:tabs>
        <w:suppressAutoHyphens w:val="0"/>
        <w:autoSpaceDE w:val="0"/>
        <w:autoSpaceDN w:val="0"/>
        <w:adjustRightInd w:val="0"/>
        <w:ind w:left="567" w:hanging="567"/>
        <w:jc w:val="both"/>
        <w:rPr>
          <w:rFonts w:ascii="Tahoma" w:hAnsi="Tahoma" w:cs="Tahoma"/>
          <w:color w:val="000000"/>
          <w:sz w:val="22"/>
          <w:szCs w:val="22"/>
        </w:rPr>
      </w:pPr>
      <w:r w:rsidRPr="0065614C">
        <w:rPr>
          <w:rFonts w:ascii="Tahoma" w:hAnsi="Tahoma" w:cs="Tahoma"/>
          <w:color w:val="000000"/>
          <w:sz w:val="22"/>
          <w:szCs w:val="22"/>
        </w:rPr>
        <w:t>Teniendo en cuenta lo expuesto, en aplicación del precedente establecido mediante Resolución Nº 03741-2004-AA/TC del Tribunal Constitucional</w:t>
      </w:r>
      <w:r w:rsidRPr="0065614C">
        <w:rPr>
          <w:rStyle w:val="Refdenotaalpie"/>
          <w:rFonts w:ascii="Tahoma" w:hAnsi="Tahoma" w:cs="Tahoma"/>
          <w:color w:val="000000"/>
          <w:sz w:val="22"/>
          <w:szCs w:val="22"/>
        </w:rPr>
        <w:footnoteReference w:id="8"/>
      </w:r>
      <w:r w:rsidRPr="0065614C">
        <w:rPr>
          <w:rFonts w:ascii="Tahoma" w:hAnsi="Tahoma" w:cs="Tahoma"/>
          <w:color w:val="000000"/>
          <w:sz w:val="22"/>
          <w:szCs w:val="22"/>
        </w:rPr>
        <w:t xml:space="preserve">, </w:t>
      </w:r>
      <w:r w:rsidRPr="0065614C">
        <w:rPr>
          <w:rFonts w:ascii="Tahoma" w:hAnsi="Tahoma" w:cs="Tahoma"/>
          <w:color w:val="000000"/>
          <w:sz w:val="22"/>
          <w:szCs w:val="22"/>
        </w:rPr>
        <w:lastRenderedPageBreak/>
        <w:t>publicada el 10 de octubre de 2006, y de acuerdo a lo dispuesto en los artículos 51</w:t>
      </w:r>
      <w:r w:rsidRPr="0065614C">
        <w:rPr>
          <w:rStyle w:val="Refdenotaalpie"/>
          <w:rFonts w:ascii="Tahoma" w:hAnsi="Tahoma" w:cs="Tahoma"/>
          <w:color w:val="000000"/>
          <w:sz w:val="22"/>
          <w:szCs w:val="22"/>
        </w:rPr>
        <w:footnoteReference w:id="9"/>
      </w:r>
      <w:r w:rsidRPr="0065614C">
        <w:rPr>
          <w:rFonts w:ascii="Tahoma" w:hAnsi="Tahoma" w:cs="Tahoma"/>
          <w:color w:val="000000"/>
          <w:sz w:val="22"/>
          <w:szCs w:val="22"/>
        </w:rPr>
        <w:t xml:space="preserve"> y 138</w:t>
      </w:r>
      <w:r w:rsidRPr="0065614C">
        <w:rPr>
          <w:rStyle w:val="Refdenotaalpie"/>
          <w:rFonts w:ascii="Tahoma" w:hAnsi="Tahoma" w:cs="Tahoma"/>
          <w:color w:val="000000"/>
          <w:sz w:val="22"/>
          <w:szCs w:val="22"/>
        </w:rPr>
        <w:footnoteReference w:id="10"/>
      </w:r>
      <w:r w:rsidRPr="0065614C">
        <w:rPr>
          <w:rFonts w:ascii="Tahoma" w:hAnsi="Tahoma" w:cs="Tahoma"/>
          <w:color w:val="000000"/>
          <w:sz w:val="22"/>
          <w:szCs w:val="22"/>
        </w:rPr>
        <w:t xml:space="preserve"> de la Constitución Política, corresponde a este Tribunal realizar el control difuso de la Resolución Nº 456-2006-CONSUCODE-PRE, en lo que respecta a la delegación de potestad sancionadora al Comité de Calificación de Proveedores, a fin de cautelar la vigencia del citado Principio de Legalidad.</w:t>
      </w:r>
    </w:p>
    <w:p w:rsidR="0065614C" w:rsidRPr="0065614C" w:rsidRDefault="0065614C" w:rsidP="0065614C">
      <w:pPr>
        <w:pStyle w:val="Prrafodelista"/>
        <w:autoSpaceDE w:val="0"/>
        <w:autoSpaceDN w:val="0"/>
        <w:adjustRightInd w:val="0"/>
        <w:ind w:left="567" w:hanging="567"/>
        <w:jc w:val="both"/>
        <w:rPr>
          <w:rFonts w:ascii="Tahoma" w:hAnsi="Tahoma" w:cs="Tahoma"/>
          <w:color w:val="000000"/>
          <w:sz w:val="22"/>
          <w:szCs w:val="22"/>
        </w:rPr>
      </w:pPr>
    </w:p>
    <w:p w:rsidR="0065614C" w:rsidRPr="0065614C" w:rsidRDefault="0065614C" w:rsidP="0065614C">
      <w:pPr>
        <w:pStyle w:val="Prrafodelista"/>
        <w:widowControl/>
        <w:numPr>
          <w:ilvl w:val="0"/>
          <w:numId w:val="8"/>
        </w:numPr>
        <w:tabs>
          <w:tab w:val="clear" w:pos="360"/>
        </w:tabs>
        <w:suppressAutoHyphens w:val="0"/>
        <w:autoSpaceDE w:val="0"/>
        <w:autoSpaceDN w:val="0"/>
        <w:adjustRightInd w:val="0"/>
        <w:ind w:left="567" w:hanging="567"/>
        <w:jc w:val="both"/>
        <w:rPr>
          <w:rFonts w:ascii="Tahoma" w:hAnsi="Tahoma" w:cs="Tahoma"/>
          <w:color w:val="000000"/>
          <w:sz w:val="22"/>
          <w:szCs w:val="22"/>
        </w:rPr>
      </w:pPr>
      <w:r w:rsidRPr="0065614C">
        <w:rPr>
          <w:rFonts w:ascii="Tahoma" w:hAnsi="Tahoma" w:cs="Tahoma"/>
          <w:color w:val="000000"/>
          <w:sz w:val="22"/>
          <w:szCs w:val="22"/>
        </w:rPr>
        <w:t>Desde esta perspectiva jurídica y conceptual, debe entenderse que el Tribunal de Contrataciones del Estado es el único órgano encargado de emitir pronunciamiento respecto de los procedimientos administrativos sancionadores derivados de los procesos de selección convocados por PETROPERÚ S.A., quedando sin efecto las disposiciones contrarias contempladas en la Resolución Nº 456-2006-CONSUCODE-PRE.</w:t>
      </w:r>
    </w:p>
    <w:p w:rsidR="0065614C" w:rsidRPr="0065614C" w:rsidRDefault="0065614C" w:rsidP="0065614C">
      <w:pPr>
        <w:pStyle w:val="Prrafodelista"/>
        <w:ind w:left="567" w:hanging="567"/>
        <w:jc w:val="both"/>
        <w:rPr>
          <w:rFonts w:ascii="Tahoma" w:hAnsi="Tahoma" w:cs="Tahoma"/>
          <w:color w:val="000000"/>
          <w:sz w:val="22"/>
          <w:szCs w:val="22"/>
        </w:rPr>
      </w:pPr>
    </w:p>
    <w:p w:rsidR="0065614C" w:rsidRPr="0065614C" w:rsidRDefault="0065614C" w:rsidP="0065614C">
      <w:pPr>
        <w:pStyle w:val="Prrafodelista"/>
        <w:widowControl/>
        <w:numPr>
          <w:ilvl w:val="0"/>
          <w:numId w:val="8"/>
        </w:numPr>
        <w:tabs>
          <w:tab w:val="clear" w:pos="360"/>
        </w:tabs>
        <w:suppressAutoHyphens w:val="0"/>
        <w:autoSpaceDE w:val="0"/>
        <w:autoSpaceDN w:val="0"/>
        <w:adjustRightInd w:val="0"/>
        <w:ind w:left="567" w:hanging="567"/>
        <w:jc w:val="both"/>
        <w:rPr>
          <w:rFonts w:ascii="Tahoma" w:hAnsi="Tahoma" w:cs="Tahoma"/>
          <w:color w:val="000000"/>
          <w:sz w:val="22"/>
          <w:szCs w:val="22"/>
        </w:rPr>
      </w:pPr>
      <w:r w:rsidRPr="0065614C">
        <w:rPr>
          <w:rFonts w:ascii="Tahoma" w:hAnsi="Tahoma" w:cs="Tahoma"/>
          <w:color w:val="000000"/>
          <w:sz w:val="22"/>
          <w:szCs w:val="22"/>
        </w:rPr>
        <w:t>Criterio similar fue adoptado por la misma Entidad, toda vez que l</w:t>
      </w:r>
      <w:r w:rsidRPr="0065614C">
        <w:rPr>
          <w:rFonts w:ascii="Tahoma" w:hAnsi="Tahoma" w:cs="Tahoma"/>
          <w:sz w:val="22"/>
          <w:szCs w:val="22"/>
        </w:rPr>
        <w:t>a Resolución Nº 456-2006-CONSUCODE/PRE fue modificada por Resolución Nº 171-2008-CONSUCODE/PRE</w:t>
      </w:r>
      <w:r w:rsidRPr="0065614C">
        <w:rPr>
          <w:rStyle w:val="Refdenotaalpie"/>
          <w:rFonts w:ascii="Tahoma" w:hAnsi="Tahoma" w:cs="Tahoma"/>
          <w:sz w:val="22"/>
          <w:szCs w:val="22"/>
        </w:rPr>
        <w:footnoteReference w:id="11"/>
      </w:r>
      <w:r w:rsidRPr="0065614C">
        <w:rPr>
          <w:rFonts w:ascii="Tahoma" w:hAnsi="Tahoma" w:cs="Tahoma"/>
          <w:sz w:val="22"/>
          <w:szCs w:val="22"/>
        </w:rPr>
        <w:t>,  y el numeral 4 del citado Reglamento, referido a la base normativa del Reglamento, dispone que es aplicable el Texto Único Ordenado de la Ley de Contrataciones y Adquisiciones del Estado</w:t>
      </w:r>
      <w:r w:rsidRPr="0065614C">
        <w:rPr>
          <w:rStyle w:val="Refdenotaalpie"/>
          <w:rFonts w:ascii="Tahoma" w:hAnsi="Tahoma" w:cs="Tahoma"/>
          <w:sz w:val="22"/>
          <w:szCs w:val="22"/>
        </w:rPr>
        <w:footnoteReference w:id="12"/>
      </w:r>
      <w:r w:rsidRPr="0065614C">
        <w:rPr>
          <w:rFonts w:ascii="Tahoma" w:hAnsi="Tahoma" w:cs="Tahoma"/>
          <w:sz w:val="22"/>
          <w:szCs w:val="22"/>
        </w:rPr>
        <w:t xml:space="preserve"> y sus modificatorias, en lo que resulte aplicable en los aspectos referidos al Registro Nacional de Proveedores (RNP), Sistema Electrónico de Adquisiciones y Contrataciones del Estado (SEACE)</w:t>
      </w:r>
      <w:r w:rsidRPr="0065614C">
        <w:rPr>
          <w:rStyle w:val="Refdenotaalpie"/>
          <w:rFonts w:ascii="Tahoma" w:hAnsi="Tahoma" w:cs="Tahoma"/>
          <w:sz w:val="22"/>
          <w:szCs w:val="22"/>
        </w:rPr>
        <w:footnoteReference w:id="13"/>
      </w:r>
      <w:r w:rsidRPr="0065614C">
        <w:rPr>
          <w:rFonts w:ascii="Tahoma" w:hAnsi="Tahoma" w:cs="Tahoma"/>
          <w:sz w:val="22"/>
          <w:szCs w:val="22"/>
        </w:rPr>
        <w:t xml:space="preserve">, recursos de impugnación y </w:t>
      </w:r>
      <w:r w:rsidRPr="0065614C">
        <w:rPr>
          <w:rFonts w:ascii="Tahoma" w:hAnsi="Tahoma" w:cs="Tahoma"/>
          <w:b/>
          <w:bCs/>
          <w:sz w:val="22"/>
          <w:szCs w:val="22"/>
        </w:rPr>
        <w:t xml:space="preserve">procedimientos administrativos sancionadores que se tramitan ante el Tribunal de Contrataciones y Adquisiciones del Estado. </w:t>
      </w:r>
      <w:r w:rsidRPr="0065614C">
        <w:rPr>
          <w:rFonts w:ascii="Tahoma" w:hAnsi="Tahoma" w:cs="Tahoma"/>
          <w:sz w:val="22"/>
          <w:szCs w:val="22"/>
        </w:rPr>
        <w:t>(El resaltado es nuestro), corrigiendo las imprecisiones y deficiente técnica legislativa, en lo concerniente al tratamiento de las sanciones administrativas.</w:t>
      </w:r>
    </w:p>
    <w:p w:rsidR="0065614C" w:rsidRPr="0065614C" w:rsidRDefault="0065614C" w:rsidP="0065614C">
      <w:pPr>
        <w:pStyle w:val="Prrafodelista"/>
        <w:ind w:left="567" w:hanging="567"/>
        <w:jc w:val="both"/>
        <w:rPr>
          <w:rFonts w:ascii="Tahoma" w:hAnsi="Tahoma" w:cs="Tahoma"/>
          <w:color w:val="000000"/>
          <w:sz w:val="22"/>
          <w:szCs w:val="22"/>
        </w:rPr>
      </w:pPr>
    </w:p>
    <w:p w:rsidR="0065614C" w:rsidRPr="0065614C" w:rsidRDefault="0065614C" w:rsidP="0065614C">
      <w:pPr>
        <w:pStyle w:val="Textonotapie"/>
        <w:numPr>
          <w:ilvl w:val="0"/>
          <w:numId w:val="8"/>
        </w:numPr>
        <w:tabs>
          <w:tab w:val="clear" w:pos="360"/>
        </w:tabs>
        <w:ind w:left="567" w:hanging="567"/>
        <w:jc w:val="both"/>
        <w:rPr>
          <w:rFonts w:ascii="Tahoma" w:hAnsi="Tahoma" w:cs="Tahoma"/>
          <w:b/>
          <w:bCs/>
          <w:sz w:val="22"/>
          <w:szCs w:val="22"/>
        </w:rPr>
      </w:pPr>
      <w:r w:rsidRPr="0065614C">
        <w:rPr>
          <w:rFonts w:ascii="Tahoma" w:hAnsi="Tahoma" w:cs="Tahoma"/>
          <w:sz w:val="22"/>
          <w:szCs w:val="22"/>
        </w:rPr>
        <w:t>Habiéndose determinado que el Tribunal resulta competente para emitir pronunciamiento en cuanto a la aplicación de sanciones administrativas, corresponde entonces determinar la norma aplicable para el presente caso.</w:t>
      </w:r>
    </w:p>
    <w:p w:rsidR="0065614C" w:rsidRPr="0065614C" w:rsidRDefault="0065614C" w:rsidP="0065614C">
      <w:pPr>
        <w:pStyle w:val="Prrafodelista"/>
        <w:ind w:left="567" w:hanging="567"/>
        <w:jc w:val="both"/>
        <w:rPr>
          <w:rFonts w:ascii="Tahoma" w:hAnsi="Tahoma" w:cs="Tahoma"/>
          <w:b/>
          <w:bCs/>
          <w:sz w:val="22"/>
          <w:szCs w:val="22"/>
        </w:rPr>
      </w:pPr>
    </w:p>
    <w:p w:rsidR="0065614C" w:rsidRPr="0065614C" w:rsidRDefault="0065614C" w:rsidP="0065614C">
      <w:pPr>
        <w:pStyle w:val="Textonotapie"/>
        <w:numPr>
          <w:ilvl w:val="0"/>
          <w:numId w:val="8"/>
        </w:numPr>
        <w:tabs>
          <w:tab w:val="clear" w:pos="360"/>
        </w:tabs>
        <w:ind w:left="567" w:hanging="567"/>
        <w:jc w:val="both"/>
        <w:rPr>
          <w:rFonts w:ascii="Tahoma" w:hAnsi="Tahoma" w:cs="Tahoma"/>
          <w:b/>
          <w:bCs/>
          <w:sz w:val="22"/>
          <w:szCs w:val="22"/>
        </w:rPr>
      </w:pPr>
      <w:r w:rsidRPr="0065614C">
        <w:rPr>
          <w:rFonts w:ascii="Tahoma" w:hAnsi="Tahoma" w:cs="Tahoma"/>
          <w:sz w:val="22"/>
          <w:szCs w:val="22"/>
        </w:rPr>
        <w:t xml:space="preserve">Al respecto, es necesario referirnos al control difuso, sistema de control de la constitucionalidad y la legalidad de las normas jurídicas, el cual refiere a que </w:t>
      </w:r>
      <w:r w:rsidRPr="0065614C">
        <w:rPr>
          <w:rFonts w:ascii="Tahoma" w:hAnsi="Tahoma" w:cs="Tahoma"/>
          <w:i/>
          <w:iCs/>
          <w:sz w:val="22"/>
          <w:szCs w:val="22"/>
        </w:rPr>
        <w:t>“cualquier operador del derecho, en caso de conflicto entre una norma de superior jerarquía con otra de inferior jerarquía, debe preferir la primera al resolver un caso concreto</w:t>
      </w:r>
      <w:r w:rsidRPr="0065614C">
        <w:rPr>
          <w:rFonts w:ascii="Tahoma" w:hAnsi="Tahoma" w:cs="Tahoma"/>
          <w:sz w:val="22"/>
          <w:szCs w:val="22"/>
        </w:rPr>
        <w:t>”.</w:t>
      </w:r>
    </w:p>
    <w:p w:rsidR="0065614C" w:rsidRPr="0065614C" w:rsidRDefault="0065614C" w:rsidP="0065614C">
      <w:pPr>
        <w:pStyle w:val="Prrafodelista"/>
        <w:ind w:left="567" w:hanging="567"/>
        <w:jc w:val="both"/>
        <w:rPr>
          <w:rFonts w:ascii="Tahoma" w:hAnsi="Tahoma" w:cs="Tahoma"/>
          <w:b/>
          <w:bCs/>
          <w:sz w:val="22"/>
          <w:szCs w:val="22"/>
        </w:rPr>
      </w:pPr>
    </w:p>
    <w:p w:rsidR="0065614C" w:rsidRPr="0065614C" w:rsidRDefault="0065614C" w:rsidP="0065614C">
      <w:pPr>
        <w:pStyle w:val="Textonotapie"/>
        <w:numPr>
          <w:ilvl w:val="0"/>
          <w:numId w:val="8"/>
        </w:numPr>
        <w:tabs>
          <w:tab w:val="clear" w:pos="360"/>
        </w:tabs>
        <w:ind w:left="567" w:hanging="567"/>
        <w:jc w:val="both"/>
        <w:rPr>
          <w:rFonts w:ascii="Tahoma" w:hAnsi="Tahoma" w:cs="Tahoma"/>
          <w:b/>
          <w:bCs/>
          <w:sz w:val="22"/>
          <w:szCs w:val="22"/>
        </w:rPr>
      </w:pPr>
      <w:r w:rsidRPr="0065614C">
        <w:rPr>
          <w:rFonts w:ascii="Tahoma" w:hAnsi="Tahoma" w:cs="Tahoma"/>
          <w:sz w:val="22"/>
          <w:szCs w:val="22"/>
        </w:rPr>
        <w:t xml:space="preserve">El Tribunal Constitucional estima que la administración pública, a través de sus tribunales administrativos o de sus órganos colegiados, no sólo tiene la facultad de hacer cumplir la Constitución –dada su fuerza normativa – </w:t>
      </w:r>
      <w:r w:rsidRPr="0065614C">
        <w:rPr>
          <w:rFonts w:ascii="Tahoma" w:hAnsi="Tahoma" w:cs="Tahoma"/>
          <w:b/>
          <w:sz w:val="22"/>
          <w:szCs w:val="22"/>
          <w:u w:val="single"/>
        </w:rPr>
        <w:t>sino también el deber constitucional de realizar el control difuso de las normas que sustentan los actos administrativos y que son contrarias a la Constitución o a la interpretación que de ella haya realizado el Tribunal Constitucional</w:t>
      </w:r>
      <w:r w:rsidRPr="0065614C">
        <w:rPr>
          <w:rFonts w:ascii="Tahoma" w:hAnsi="Tahoma" w:cs="Tahoma"/>
          <w:sz w:val="22"/>
          <w:szCs w:val="22"/>
        </w:rPr>
        <w:t xml:space="preserve"> (artículo VI del Título Preliminar del Código Procesal Constitucional). Ello se sustenta, en primer lugar, en que si bien la Constitución, de conformidad con el párrafo segundo del artículo 138, reconoce a los jueces la potestad para realizar el control difuso, de ahí no se deriva que dicha potestad les corresponda únicamente a los jueces, ni tampoco que el control difuso se realice únicamente dentro del marco de un proceso judicial</w:t>
      </w:r>
      <w:r w:rsidRPr="0065614C">
        <w:rPr>
          <w:rStyle w:val="Refdenotaalpie"/>
          <w:rFonts w:ascii="Tahoma" w:hAnsi="Tahoma" w:cs="Tahoma"/>
          <w:sz w:val="22"/>
          <w:szCs w:val="22"/>
        </w:rPr>
        <w:footnoteReference w:id="14"/>
      </w:r>
      <w:r w:rsidRPr="0065614C">
        <w:rPr>
          <w:rFonts w:ascii="Tahoma" w:hAnsi="Tahoma" w:cs="Tahoma"/>
          <w:sz w:val="22"/>
          <w:szCs w:val="22"/>
        </w:rPr>
        <w:t>.</w:t>
      </w:r>
    </w:p>
    <w:p w:rsidR="0065614C" w:rsidRPr="0065614C" w:rsidRDefault="0065614C" w:rsidP="0065614C">
      <w:pPr>
        <w:pStyle w:val="Prrafodelista"/>
        <w:ind w:left="567" w:hanging="567"/>
        <w:jc w:val="both"/>
        <w:rPr>
          <w:rFonts w:ascii="Tahoma" w:hAnsi="Tahoma" w:cs="Tahoma"/>
          <w:b/>
          <w:bCs/>
          <w:sz w:val="22"/>
          <w:szCs w:val="22"/>
        </w:rPr>
      </w:pPr>
    </w:p>
    <w:p w:rsidR="0065614C" w:rsidRPr="0065614C" w:rsidRDefault="0065614C" w:rsidP="0065614C">
      <w:pPr>
        <w:pStyle w:val="Textonotapie"/>
        <w:numPr>
          <w:ilvl w:val="0"/>
          <w:numId w:val="8"/>
        </w:numPr>
        <w:tabs>
          <w:tab w:val="clear" w:pos="360"/>
        </w:tabs>
        <w:ind w:left="567" w:hanging="567"/>
        <w:jc w:val="both"/>
        <w:rPr>
          <w:rFonts w:ascii="Tahoma" w:hAnsi="Tahoma" w:cs="Tahoma"/>
          <w:b/>
          <w:bCs/>
          <w:sz w:val="22"/>
          <w:szCs w:val="22"/>
        </w:rPr>
      </w:pPr>
      <w:r w:rsidRPr="0065614C">
        <w:rPr>
          <w:rFonts w:ascii="Tahoma" w:hAnsi="Tahoma" w:cs="Tahoma"/>
          <w:sz w:val="22"/>
          <w:szCs w:val="22"/>
        </w:rPr>
        <w:t>En base a lo antes expuesto, resultan aplicables al caso de autos el Texto Único Ordenado de la Ley de Contrataciones y Adquisiciones del Estado y su Reglamento, en lo referente a la aplicación de sanciones. En consecuencia, en el presente caso la imputación realizada contra el Postor se regirá por las normas antes señaladas en colaboración y complementación con el Reglamento de Adquisiciones y Contrataciones de Petróleos del Perú S.A.</w:t>
      </w:r>
    </w:p>
    <w:p w:rsidR="0065614C" w:rsidRPr="0065614C" w:rsidRDefault="0065614C" w:rsidP="0065614C">
      <w:pPr>
        <w:pStyle w:val="Prrafodelista"/>
        <w:ind w:left="567" w:hanging="567"/>
        <w:jc w:val="both"/>
        <w:rPr>
          <w:rFonts w:ascii="Tahoma" w:hAnsi="Tahoma" w:cs="Tahoma"/>
          <w:b/>
          <w:bCs/>
          <w:sz w:val="22"/>
          <w:szCs w:val="22"/>
        </w:rPr>
      </w:pPr>
    </w:p>
    <w:p w:rsidR="0065614C" w:rsidRPr="0065614C" w:rsidRDefault="0065614C" w:rsidP="0065614C">
      <w:pPr>
        <w:pStyle w:val="Textonotapie"/>
        <w:numPr>
          <w:ilvl w:val="0"/>
          <w:numId w:val="8"/>
        </w:numPr>
        <w:tabs>
          <w:tab w:val="clear" w:pos="360"/>
        </w:tabs>
        <w:ind w:left="567" w:hanging="567"/>
        <w:jc w:val="both"/>
        <w:rPr>
          <w:rFonts w:ascii="Tahoma" w:hAnsi="Tahoma" w:cs="Tahoma"/>
          <w:b/>
          <w:bCs/>
          <w:sz w:val="22"/>
          <w:szCs w:val="22"/>
        </w:rPr>
      </w:pPr>
      <w:r w:rsidRPr="0065614C">
        <w:rPr>
          <w:rFonts w:ascii="Tahoma" w:hAnsi="Tahoma" w:cs="Tahoma"/>
          <w:sz w:val="22"/>
          <w:szCs w:val="22"/>
        </w:rPr>
        <w:t>Dentro de este marco de referencia, el Tribunal es el órgano que tiene a su cargo el conocimiento y resolución de los procedimientos de imposición de sanción de inhabilitación temporal o definitiva para contratar con el Estado, en los casos expresamente tipificados en el artículo 52 de Ley de Contrataciones y Adquisiciones de Estado, aprobado mediante Decreto Supremo № 083-2004-PCM, y el artículo 294 del Reglamento de la Ley de Contrataciones y Adquisiciones del Estado, aprobado mediante Decreto Supremo № 084-2004-PCM, en lo sucesivo la Ley y el Reglamento; sin perjuicio de las acciones legales que corresponda adoptar a las entidades dentro de sus respectivas atribuciones.</w:t>
      </w:r>
    </w:p>
    <w:p w:rsidR="0065614C" w:rsidRPr="0065614C" w:rsidRDefault="0065614C" w:rsidP="0065614C">
      <w:pPr>
        <w:pStyle w:val="Textoindependiente"/>
        <w:ind w:left="567" w:hanging="567"/>
        <w:jc w:val="both"/>
        <w:rPr>
          <w:rFonts w:ascii="Tahoma" w:hAnsi="Tahoma" w:cs="Tahoma"/>
          <w:sz w:val="22"/>
          <w:szCs w:val="22"/>
        </w:rPr>
      </w:pPr>
    </w:p>
    <w:p w:rsidR="0065614C" w:rsidRPr="0065614C" w:rsidRDefault="0065614C" w:rsidP="0065614C">
      <w:pPr>
        <w:numPr>
          <w:ilvl w:val="0"/>
          <w:numId w:val="8"/>
        </w:numPr>
        <w:tabs>
          <w:tab w:val="clear" w:pos="360"/>
          <w:tab w:val="num" w:pos="567"/>
        </w:tabs>
        <w:ind w:left="567" w:hanging="567"/>
        <w:jc w:val="both"/>
        <w:rPr>
          <w:rFonts w:ascii="Tahoma" w:hAnsi="Tahoma" w:cs="Tahoma"/>
          <w:sz w:val="22"/>
          <w:szCs w:val="22"/>
        </w:rPr>
      </w:pPr>
      <w:r w:rsidRPr="0065614C">
        <w:rPr>
          <w:rFonts w:ascii="Tahoma" w:hAnsi="Tahoma" w:cs="Tahoma"/>
          <w:sz w:val="22"/>
          <w:szCs w:val="22"/>
        </w:rPr>
        <w:t xml:space="preserve">De la documentación obrante en autos, se aprecia que la Entidad ha informado a este Tribunal que el Postor habría incluido, como parte de su propuesta técnica, información falsa o inexacta, consistente en el Anexo A Características Técnicas de los equipos propuestos para la ejecución de servicio, en el cual declaró que el </w:t>
      </w:r>
      <w:r w:rsidRPr="0065614C">
        <w:rPr>
          <w:rFonts w:ascii="Tahoma" w:hAnsi="Tahoma" w:cs="Tahoma"/>
          <w:sz w:val="22"/>
          <w:szCs w:val="22"/>
        </w:rPr>
        <w:lastRenderedPageBreak/>
        <w:t xml:space="preserve">equipo ofertado modelo AFICIO 2105, cuenta con un sistema de revelado </w:t>
      </w:r>
      <w:proofErr w:type="spellStart"/>
      <w:r w:rsidRPr="0065614C">
        <w:rPr>
          <w:rFonts w:ascii="Tahoma" w:hAnsi="Tahoma" w:cs="Tahoma"/>
          <w:sz w:val="22"/>
          <w:szCs w:val="22"/>
        </w:rPr>
        <w:t>monocomponente</w:t>
      </w:r>
      <w:proofErr w:type="spellEnd"/>
      <w:r w:rsidRPr="0065614C">
        <w:rPr>
          <w:rFonts w:ascii="Tahoma" w:hAnsi="Tahoma" w:cs="Tahoma"/>
          <w:sz w:val="22"/>
          <w:szCs w:val="22"/>
        </w:rPr>
        <w:t>.</w:t>
      </w:r>
    </w:p>
    <w:p w:rsidR="0065614C" w:rsidRPr="0065614C" w:rsidRDefault="0065614C" w:rsidP="0065614C">
      <w:pPr>
        <w:rPr>
          <w:rFonts w:ascii="Tahoma" w:hAnsi="Tahoma" w:cs="Tahoma"/>
          <w:sz w:val="22"/>
          <w:szCs w:val="22"/>
        </w:rPr>
      </w:pPr>
    </w:p>
    <w:p w:rsidR="0065614C" w:rsidRPr="0065614C" w:rsidRDefault="0065614C" w:rsidP="0065614C">
      <w:pPr>
        <w:pStyle w:val="Prrafodelista"/>
        <w:ind w:left="567"/>
        <w:contextualSpacing/>
        <w:jc w:val="both"/>
        <w:rPr>
          <w:rFonts w:ascii="Tahoma" w:hAnsi="Tahoma" w:cs="Tahoma"/>
          <w:sz w:val="22"/>
          <w:szCs w:val="22"/>
        </w:rPr>
      </w:pPr>
      <w:r w:rsidRPr="0065614C">
        <w:rPr>
          <w:rFonts w:ascii="Tahoma" w:hAnsi="Tahoma" w:cs="Tahoma"/>
          <w:sz w:val="22"/>
          <w:szCs w:val="22"/>
        </w:rPr>
        <w:t xml:space="preserve">En efecto, en el Informe Técnico Nº GLOG-0704-2008 de fecha 17 de marzo de 2008, la Entidad señaló que el Postor consignó información inexacta referida al sistema de revelado de los equipos ofertados en su propuesta técnica, toda vez que en el documento Anexo A, Características técnicas de los equipos propuestos para la ejecución del servicio, declaró que la Máquina Fotocopiadora Modelo AFICIO 2105, cuenta con un sistema de revelado </w:t>
      </w:r>
      <w:proofErr w:type="spellStart"/>
      <w:r w:rsidRPr="0065614C">
        <w:rPr>
          <w:rFonts w:ascii="Tahoma" w:hAnsi="Tahoma" w:cs="Tahoma"/>
          <w:sz w:val="22"/>
          <w:szCs w:val="22"/>
        </w:rPr>
        <w:t>monocomponente</w:t>
      </w:r>
      <w:proofErr w:type="spellEnd"/>
      <w:r w:rsidRPr="0065614C">
        <w:rPr>
          <w:rFonts w:ascii="Tahoma" w:hAnsi="Tahoma" w:cs="Tahoma"/>
          <w:sz w:val="22"/>
          <w:szCs w:val="22"/>
        </w:rPr>
        <w:t xml:space="preserve">, no obstante ello, del folleto técnico emitido por la RICOH CORPORATION, el mismo que se puede observar en la página web </w:t>
      </w:r>
      <w:hyperlink r:id="rId7" w:history="1">
        <w:r w:rsidRPr="0065614C">
          <w:rPr>
            <w:rStyle w:val="Hipervnculo"/>
            <w:rFonts w:ascii="Tahoma" w:hAnsi="Tahoma" w:cs="Tahoma"/>
            <w:sz w:val="22"/>
            <w:szCs w:val="22"/>
          </w:rPr>
          <w:t>http://www.ricoh-usa.com/products/brochures/Aficio 2105.pdf</w:t>
        </w:r>
      </w:hyperlink>
      <w:r w:rsidRPr="0065614C">
        <w:rPr>
          <w:rFonts w:ascii="Tahoma" w:hAnsi="Tahoma" w:cs="Tahoma"/>
          <w:sz w:val="22"/>
          <w:szCs w:val="22"/>
        </w:rPr>
        <w:t>, y que fue presentada en español por el Postor a fojas 45 de su propuesta técnica, se consignó lo siguiente:</w:t>
      </w:r>
    </w:p>
    <w:p w:rsidR="0065614C" w:rsidRPr="0065614C" w:rsidRDefault="0065614C" w:rsidP="0065614C">
      <w:pPr>
        <w:pStyle w:val="Prrafodelista"/>
        <w:ind w:left="567"/>
        <w:contextualSpacing/>
        <w:jc w:val="both"/>
        <w:rPr>
          <w:rFonts w:ascii="Tahoma" w:hAnsi="Tahoma" w:cs="Tahoma"/>
          <w:sz w:val="22"/>
          <w:szCs w:val="22"/>
        </w:rPr>
      </w:pPr>
    </w:p>
    <w:p w:rsidR="0065614C" w:rsidRPr="0065614C" w:rsidRDefault="0065614C" w:rsidP="0065614C">
      <w:pPr>
        <w:pStyle w:val="Prrafodelista"/>
        <w:ind w:left="1985"/>
        <w:contextualSpacing/>
        <w:jc w:val="both"/>
        <w:rPr>
          <w:rFonts w:ascii="Tahoma" w:hAnsi="Tahoma" w:cs="Tahoma"/>
          <w:i/>
          <w:sz w:val="22"/>
          <w:szCs w:val="22"/>
          <w:lang w:val="en-US"/>
        </w:rPr>
      </w:pPr>
      <w:r w:rsidRPr="0065614C">
        <w:rPr>
          <w:rFonts w:ascii="Tahoma" w:hAnsi="Tahoma" w:cs="Tahoma"/>
          <w:i/>
          <w:sz w:val="22"/>
          <w:szCs w:val="22"/>
          <w:lang w:val="en-US"/>
        </w:rPr>
        <w:t>“</w:t>
      </w:r>
      <w:proofErr w:type="spellStart"/>
      <w:r w:rsidRPr="0065614C">
        <w:rPr>
          <w:rFonts w:ascii="Tahoma" w:hAnsi="Tahoma" w:cs="Tahoma"/>
          <w:i/>
          <w:sz w:val="22"/>
          <w:szCs w:val="22"/>
          <w:lang w:val="en-US"/>
        </w:rPr>
        <w:t>Aficio</w:t>
      </w:r>
      <w:proofErr w:type="spellEnd"/>
      <w:r w:rsidRPr="0065614C">
        <w:rPr>
          <w:rFonts w:ascii="Tahoma" w:hAnsi="Tahoma" w:cs="Tahoma"/>
          <w:i/>
          <w:sz w:val="22"/>
          <w:szCs w:val="22"/>
          <w:lang w:val="en-US"/>
        </w:rPr>
        <w:t xml:space="preserve"> 2090&amp;2105</w:t>
      </w:r>
    </w:p>
    <w:p w:rsidR="0065614C" w:rsidRPr="0065614C" w:rsidRDefault="0065614C" w:rsidP="0065614C">
      <w:pPr>
        <w:pStyle w:val="Prrafodelista"/>
        <w:ind w:left="1985"/>
        <w:contextualSpacing/>
        <w:jc w:val="both"/>
        <w:rPr>
          <w:rFonts w:ascii="Tahoma" w:hAnsi="Tahoma" w:cs="Tahoma"/>
          <w:i/>
          <w:sz w:val="22"/>
          <w:szCs w:val="22"/>
          <w:lang w:val="en-US"/>
        </w:rPr>
      </w:pPr>
      <w:r w:rsidRPr="0065614C">
        <w:rPr>
          <w:rFonts w:ascii="Tahoma" w:hAnsi="Tahoma" w:cs="Tahoma"/>
          <w:i/>
          <w:sz w:val="22"/>
          <w:szCs w:val="22"/>
          <w:lang w:val="en-US"/>
        </w:rPr>
        <w:t>General Specifications</w:t>
      </w:r>
    </w:p>
    <w:p w:rsidR="0065614C" w:rsidRPr="0065614C" w:rsidRDefault="0065614C" w:rsidP="0065614C">
      <w:pPr>
        <w:pStyle w:val="Prrafodelista"/>
        <w:ind w:left="1985"/>
        <w:contextualSpacing/>
        <w:jc w:val="both"/>
        <w:rPr>
          <w:rFonts w:ascii="Tahoma" w:hAnsi="Tahoma" w:cs="Tahoma"/>
          <w:i/>
          <w:sz w:val="22"/>
          <w:szCs w:val="22"/>
          <w:lang w:val="en-US"/>
        </w:rPr>
      </w:pPr>
      <w:r w:rsidRPr="0065614C">
        <w:rPr>
          <w:rFonts w:ascii="Tahoma" w:hAnsi="Tahoma" w:cs="Tahoma"/>
          <w:i/>
          <w:sz w:val="22"/>
          <w:szCs w:val="22"/>
          <w:lang w:val="en-US"/>
        </w:rPr>
        <w:t>Printing: Dry Process (Dual Component)”</w:t>
      </w:r>
    </w:p>
    <w:p w:rsidR="0065614C" w:rsidRPr="0065614C" w:rsidRDefault="0065614C" w:rsidP="0065614C">
      <w:pPr>
        <w:ind w:left="567"/>
        <w:jc w:val="both"/>
        <w:rPr>
          <w:rFonts w:ascii="Tahoma" w:hAnsi="Tahoma" w:cs="Tahoma"/>
          <w:sz w:val="22"/>
          <w:szCs w:val="22"/>
          <w:lang w:val="en-US"/>
        </w:rPr>
      </w:pPr>
    </w:p>
    <w:p w:rsidR="0065614C" w:rsidRPr="0065614C" w:rsidRDefault="0065614C" w:rsidP="0065614C">
      <w:pPr>
        <w:numPr>
          <w:ilvl w:val="0"/>
          <w:numId w:val="8"/>
        </w:numPr>
        <w:tabs>
          <w:tab w:val="clear" w:pos="360"/>
          <w:tab w:val="num" w:pos="567"/>
        </w:tabs>
        <w:ind w:left="426" w:hanging="567"/>
        <w:jc w:val="both"/>
        <w:rPr>
          <w:rFonts w:ascii="Tahoma" w:hAnsi="Tahoma" w:cs="Tahoma"/>
          <w:sz w:val="22"/>
          <w:szCs w:val="22"/>
        </w:rPr>
      </w:pPr>
      <w:r w:rsidRPr="0065614C">
        <w:rPr>
          <w:rFonts w:ascii="Tahoma" w:hAnsi="Tahoma" w:cs="Tahoma"/>
          <w:sz w:val="22"/>
          <w:szCs w:val="22"/>
        </w:rPr>
        <w:t xml:space="preserve">Como se puede advertir, el supuesto documento falso y/o inexacto sería el Anexo A Características técnicas de los equipos propuestos para la ejecución del Servicio, en el cual se señaló que la maquina fotocopiadora modelo AFICIO 2105, cuenta con un sistema de revelado </w:t>
      </w:r>
      <w:proofErr w:type="spellStart"/>
      <w:r w:rsidRPr="0065614C">
        <w:rPr>
          <w:rFonts w:ascii="Tahoma" w:hAnsi="Tahoma" w:cs="Tahoma"/>
          <w:sz w:val="22"/>
          <w:szCs w:val="22"/>
        </w:rPr>
        <w:t>monocomponente</w:t>
      </w:r>
      <w:proofErr w:type="spellEnd"/>
      <w:r w:rsidRPr="0065614C">
        <w:rPr>
          <w:rFonts w:ascii="Tahoma" w:hAnsi="Tahoma" w:cs="Tahoma"/>
          <w:sz w:val="22"/>
          <w:szCs w:val="22"/>
        </w:rPr>
        <w:t>.</w:t>
      </w:r>
    </w:p>
    <w:p w:rsidR="0065614C" w:rsidRPr="0065614C" w:rsidRDefault="0065614C" w:rsidP="0065614C">
      <w:pPr>
        <w:ind w:left="426"/>
        <w:jc w:val="both"/>
        <w:rPr>
          <w:rFonts w:ascii="Tahoma" w:hAnsi="Tahoma" w:cs="Tahoma"/>
          <w:sz w:val="22"/>
          <w:szCs w:val="22"/>
        </w:rPr>
      </w:pPr>
    </w:p>
    <w:p w:rsidR="0065614C" w:rsidRPr="0065614C" w:rsidRDefault="0065614C" w:rsidP="0065614C">
      <w:pPr>
        <w:ind w:left="426"/>
        <w:jc w:val="both"/>
        <w:rPr>
          <w:rFonts w:ascii="Tahoma" w:hAnsi="Tahoma" w:cs="Tahoma"/>
          <w:sz w:val="22"/>
          <w:szCs w:val="22"/>
        </w:rPr>
      </w:pPr>
      <w:r w:rsidRPr="0065614C">
        <w:rPr>
          <w:rFonts w:ascii="Tahoma" w:hAnsi="Tahoma" w:cs="Tahoma"/>
          <w:sz w:val="22"/>
          <w:szCs w:val="22"/>
        </w:rPr>
        <w:t xml:space="preserve">No obstante ello, la Entidad ha indicado en el Informe Técnico Nº GLOG-0704-2008 de fecha 17 de marzo de 2008, que de la verificación del folleto técnico emitido por RICOH CORPORATION, el mismo que el Postor adjuntó a fojas 45 de su propuesta técnica, se apreció que dicha máquina contaba con un </w:t>
      </w:r>
      <w:r w:rsidRPr="0065614C">
        <w:rPr>
          <w:rFonts w:ascii="Tahoma" w:hAnsi="Tahoma" w:cs="Tahoma"/>
          <w:i/>
          <w:sz w:val="22"/>
          <w:szCs w:val="22"/>
        </w:rPr>
        <w:t>“Proceso de Impresión: Proceso Seco componente Dual”</w:t>
      </w:r>
      <w:r w:rsidRPr="0065614C">
        <w:rPr>
          <w:rFonts w:ascii="Tahoma" w:hAnsi="Tahoma" w:cs="Tahoma"/>
          <w:sz w:val="22"/>
          <w:szCs w:val="22"/>
        </w:rPr>
        <w:t xml:space="preserve"> o “</w:t>
      </w:r>
      <w:proofErr w:type="spellStart"/>
      <w:r w:rsidRPr="0065614C">
        <w:rPr>
          <w:rFonts w:ascii="Tahoma" w:hAnsi="Tahoma" w:cs="Tahoma"/>
          <w:i/>
          <w:sz w:val="22"/>
          <w:szCs w:val="22"/>
        </w:rPr>
        <w:t>Printing</w:t>
      </w:r>
      <w:proofErr w:type="spellEnd"/>
      <w:r w:rsidRPr="0065614C">
        <w:rPr>
          <w:rFonts w:ascii="Tahoma" w:hAnsi="Tahoma" w:cs="Tahoma"/>
          <w:i/>
          <w:sz w:val="22"/>
          <w:szCs w:val="22"/>
        </w:rPr>
        <w:t xml:space="preserve"> </w:t>
      </w:r>
      <w:proofErr w:type="spellStart"/>
      <w:r w:rsidRPr="0065614C">
        <w:rPr>
          <w:rFonts w:ascii="Tahoma" w:hAnsi="Tahoma" w:cs="Tahoma"/>
          <w:i/>
          <w:sz w:val="22"/>
          <w:szCs w:val="22"/>
        </w:rPr>
        <w:t>Process</w:t>
      </w:r>
      <w:proofErr w:type="spellEnd"/>
      <w:r w:rsidRPr="0065614C">
        <w:rPr>
          <w:rFonts w:ascii="Tahoma" w:hAnsi="Tahoma" w:cs="Tahoma"/>
          <w:i/>
          <w:sz w:val="22"/>
          <w:szCs w:val="22"/>
        </w:rPr>
        <w:t xml:space="preserve">: </w:t>
      </w:r>
      <w:proofErr w:type="spellStart"/>
      <w:r w:rsidRPr="0065614C">
        <w:rPr>
          <w:rFonts w:ascii="Tahoma" w:hAnsi="Tahoma" w:cs="Tahoma"/>
          <w:i/>
          <w:sz w:val="22"/>
          <w:szCs w:val="22"/>
        </w:rPr>
        <w:t>Dry</w:t>
      </w:r>
      <w:proofErr w:type="spellEnd"/>
      <w:r w:rsidRPr="0065614C">
        <w:rPr>
          <w:rFonts w:ascii="Tahoma" w:hAnsi="Tahoma" w:cs="Tahoma"/>
          <w:i/>
          <w:sz w:val="22"/>
          <w:szCs w:val="22"/>
        </w:rPr>
        <w:t xml:space="preserve"> </w:t>
      </w:r>
      <w:proofErr w:type="spellStart"/>
      <w:r w:rsidRPr="0065614C">
        <w:rPr>
          <w:rFonts w:ascii="Tahoma" w:hAnsi="Tahoma" w:cs="Tahoma"/>
          <w:i/>
          <w:sz w:val="22"/>
          <w:szCs w:val="22"/>
        </w:rPr>
        <w:t>Process</w:t>
      </w:r>
      <w:proofErr w:type="spellEnd"/>
      <w:r w:rsidRPr="0065614C">
        <w:rPr>
          <w:rFonts w:ascii="Tahoma" w:hAnsi="Tahoma" w:cs="Tahoma"/>
          <w:sz w:val="22"/>
          <w:szCs w:val="22"/>
        </w:rPr>
        <w:t xml:space="preserve"> (Dual </w:t>
      </w:r>
      <w:proofErr w:type="spellStart"/>
      <w:r w:rsidRPr="0065614C">
        <w:rPr>
          <w:rFonts w:ascii="Tahoma" w:hAnsi="Tahoma" w:cs="Tahoma"/>
          <w:sz w:val="22"/>
          <w:szCs w:val="22"/>
        </w:rPr>
        <w:t>Component</w:t>
      </w:r>
      <w:proofErr w:type="spellEnd"/>
      <w:r w:rsidRPr="0065614C">
        <w:rPr>
          <w:rFonts w:ascii="Tahoma" w:hAnsi="Tahoma" w:cs="Tahoma"/>
          <w:sz w:val="22"/>
          <w:szCs w:val="22"/>
        </w:rPr>
        <w:t xml:space="preserve">” (según el folleto técnico en ingles extraído de la página web </w:t>
      </w:r>
      <w:hyperlink r:id="rId8" w:history="1">
        <w:r w:rsidRPr="0065614C">
          <w:rPr>
            <w:rStyle w:val="Hipervnculo"/>
            <w:rFonts w:ascii="Tahoma" w:hAnsi="Tahoma" w:cs="Tahoma"/>
            <w:sz w:val="22"/>
            <w:szCs w:val="22"/>
          </w:rPr>
          <w:t>http://www.ricoh-usa.com/products/brochures/Aficio 2105.pdf</w:t>
        </w:r>
      </w:hyperlink>
      <w:r w:rsidRPr="0065614C">
        <w:rPr>
          <w:rFonts w:ascii="Tahoma" w:hAnsi="Tahoma" w:cs="Tahoma"/>
          <w:sz w:val="22"/>
          <w:szCs w:val="22"/>
        </w:rPr>
        <w:t>), de manera que al no coincidir dicha información con las especificaciones técnicas presentadas por el Postor, la Entidad concluyó que ha presentado información falsa.</w:t>
      </w:r>
    </w:p>
    <w:p w:rsidR="0065614C" w:rsidRPr="0065614C" w:rsidRDefault="0065614C" w:rsidP="0065614C">
      <w:pPr>
        <w:ind w:left="426"/>
        <w:jc w:val="both"/>
        <w:rPr>
          <w:rFonts w:ascii="Tahoma" w:hAnsi="Tahoma" w:cs="Tahoma"/>
          <w:sz w:val="22"/>
          <w:szCs w:val="22"/>
        </w:rPr>
      </w:pPr>
    </w:p>
    <w:p w:rsidR="0065614C" w:rsidRPr="0065614C" w:rsidRDefault="0065614C" w:rsidP="0065614C">
      <w:pPr>
        <w:numPr>
          <w:ilvl w:val="0"/>
          <w:numId w:val="8"/>
        </w:numPr>
        <w:tabs>
          <w:tab w:val="clear" w:pos="360"/>
          <w:tab w:val="num" w:pos="567"/>
        </w:tabs>
        <w:ind w:left="426" w:hanging="567"/>
        <w:jc w:val="both"/>
        <w:rPr>
          <w:rFonts w:ascii="Tahoma" w:hAnsi="Tahoma" w:cs="Tahoma"/>
          <w:sz w:val="22"/>
          <w:szCs w:val="22"/>
        </w:rPr>
      </w:pPr>
      <w:r w:rsidRPr="0065614C">
        <w:rPr>
          <w:rFonts w:ascii="Tahoma" w:hAnsi="Tahoma" w:cs="Tahoma"/>
          <w:sz w:val="22"/>
          <w:szCs w:val="22"/>
        </w:rPr>
        <w:t xml:space="preserve">Sobre el particular hay que tener en cuenta que las imputaciones hechas hacen referencia al incumplimiento de requisitos técnicos e incongruencia en la propuesta del Postor, lo cual no es pasible de sanción, ya que el documento cuestionado sólo tiene la finalidad de verificar el cumplimiento de requerimientos técnicos mínimos. Así, el Comité Especial de comprobar, ya sea a través de la revisión de la documentación </w:t>
      </w:r>
      <w:proofErr w:type="spellStart"/>
      <w:r w:rsidRPr="0065614C">
        <w:rPr>
          <w:rFonts w:ascii="Tahoma" w:hAnsi="Tahoma" w:cs="Tahoma"/>
          <w:sz w:val="22"/>
          <w:szCs w:val="22"/>
        </w:rPr>
        <w:t>sustentatoria</w:t>
      </w:r>
      <w:proofErr w:type="spellEnd"/>
      <w:r w:rsidRPr="0065614C">
        <w:rPr>
          <w:rFonts w:ascii="Tahoma" w:hAnsi="Tahoma" w:cs="Tahoma"/>
          <w:sz w:val="22"/>
          <w:szCs w:val="22"/>
        </w:rPr>
        <w:t xml:space="preserve"> o de otro mecanismo, que los productos ofertados no cumplen los RTM, determinará la descalificación del Postor, mas no puede concluirse a partir de ello la supuesta comisión de infracción.</w:t>
      </w:r>
    </w:p>
    <w:p w:rsidR="0065614C" w:rsidRPr="0065614C" w:rsidRDefault="0065614C" w:rsidP="0065614C">
      <w:pPr>
        <w:ind w:left="426"/>
        <w:jc w:val="both"/>
        <w:rPr>
          <w:rFonts w:ascii="Tahoma" w:hAnsi="Tahoma" w:cs="Tahoma"/>
          <w:sz w:val="22"/>
          <w:szCs w:val="22"/>
        </w:rPr>
      </w:pPr>
    </w:p>
    <w:p w:rsidR="0065614C" w:rsidRPr="0065614C" w:rsidRDefault="0065614C" w:rsidP="0065614C">
      <w:pPr>
        <w:ind w:left="426"/>
        <w:jc w:val="both"/>
        <w:rPr>
          <w:rFonts w:ascii="Tahoma" w:hAnsi="Tahoma" w:cs="Tahoma"/>
          <w:sz w:val="22"/>
          <w:szCs w:val="22"/>
        </w:rPr>
      </w:pPr>
      <w:r w:rsidRPr="0065614C">
        <w:rPr>
          <w:rFonts w:ascii="Tahoma" w:hAnsi="Tahoma" w:cs="Tahoma"/>
          <w:sz w:val="22"/>
          <w:szCs w:val="22"/>
        </w:rPr>
        <w:t xml:space="preserve">En relación a ello, distinto sería el caso en el cual el Postor para tratar de cumplir con los Requerimientos Técnicos Mínimos, adulterara la información contenida en los documentos que sustentan el cumplimiento de los mismos; sin embargo, en el </w:t>
      </w:r>
      <w:r w:rsidRPr="0065614C">
        <w:rPr>
          <w:rFonts w:ascii="Tahoma" w:hAnsi="Tahoma" w:cs="Tahoma"/>
          <w:sz w:val="22"/>
          <w:szCs w:val="22"/>
        </w:rPr>
        <w:lastRenderedPageBreak/>
        <w:t>caso en concreto la imputación sólo está referida a lo consignado por el Postor en el Anexo A Características técnicas de los equipos propuestos para la ejecución del Servicio.</w:t>
      </w:r>
    </w:p>
    <w:p w:rsidR="0065614C" w:rsidRPr="0065614C" w:rsidRDefault="0065614C" w:rsidP="0065614C">
      <w:pPr>
        <w:ind w:left="426"/>
        <w:jc w:val="both"/>
        <w:rPr>
          <w:rFonts w:ascii="Tahoma" w:hAnsi="Tahoma" w:cs="Tahoma"/>
          <w:sz w:val="22"/>
          <w:szCs w:val="22"/>
        </w:rPr>
      </w:pPr>
    </w:p>
    <w:p w:rsidR="0065614C" w:rsidRPr="0065614C" w:rsidRDefault="0065614C" w:rsidP="0065614C">
      <w:pPr>
        <w:ind w:left="426"/>
        <w:jc w:val="both"/>
        <w:rPr>
          <w:rFonts w:ascii="Tahoma" w:hAnsi="Tahoma" w:cs="Tahoma"/>
          <w:sz w:val="22"/>
          <w:szCs w:val="22"/>
        </w:rPr>
      </w:pPr>
      <w:r w:rsidRPr="0065614C">
        <w:rPr>
          <w:rFonts w:ascii="Tahoma" w:hAnsi="Tahoma" w:cs="Tahoma"/>
          <w:sz w:val="22"/>
          <w:szCs w:val="22"/>
        </w:rPr>
        <w:t>Por último, con relación a lo señalado en los párrafos precedentes es preciso señalar que, en el presente procedimiento administrativo sancionador, este Colegiado carece de competencia para evaluar la idoneidad de la propuesta o el incumplimiento de los requerimientos técnicos previstos en las Bases.</w:t>
      </w:r>
    </w:p>
    <w:p w:rsidR="0065614C" w:rsidRPr="0065614C" w:rsidRDefault="0065614C" w:rsidP="0065614C">
      <w:pPr>
        <w:jc w:val="both"/>
        <w:rPr>
          <w:rFonts w:ascii="Tahoma" w:hAnsi="Tahoma" w:cs="Tahoma"/>
          <w:sz w:val="22"/>
          <w:szCs w:val="22"/>
        </w:rPr>
      </w:pPr>
    </w:p>
    <w:p w:rsidR="0065614C" w:rsidRPr="0065614C" w:rsidRDefault="0065614C" w:rsidP="0065614C">
      <w:pPr>
        <w:numPr>
          <w:ilvl w:val="0"/>
          <w:numId w:val="8"/>
        </w:numPr>
        <w:tabs>
          <w:tab w:val="clear" w:pos="360"/>
          <w:tab w:val="num" w:pos="567"/>
        </w:tabs>
        <w:ind w:left="426" w:hanging="567"/>
        <w:jc w:val="both"/>
        <w:rPr>
          <w:rFonts w:ascii="Tahoma" w:hAnsi="Tahoma" w:cs="Tahoma"/>
          <w:sz w:val="22"/>
          <w:szCs w:val="22"/>
        </w:rPr>
      </w:pPr>
      <w:r w:rsidRPr="0065614C">
        <w:rPr>
          <w:rFonts w:ascii="Tahoma" w:hAnsi="Tahoma" w:cs="Tahoma"/>
          <w:sz w:val="22"/>
          <w:szCs w:val="22"/>
        </w:rPr>
        <w:t>En atención a las consideraciones expuestas este Colegiado dispone declarar no ha lugar la imposición de sanción en contra del Postor.</w:t>
      </w:r>
    </w:p>
    <w:p w:rsidR="0065614C" w:rsidRPr="0065614C" w:rsidRDefault="0065614C" w:rsidP="0065614C">
      <w:pPr>
        <w:jc w:val="both"/>
        <w:rPr>
          <w:rFonts w:ascii="Tahoma" w:hAnsi="Tahoma" w:cs="Tahoma"/>
          <w:sz w:val="22"/>
          <w:szCs w:val="22"/>
        </w:rPr>
      </w:pPr>
    </w:p>
    <w:p w:rsidR="0065614C" w:rsidRPr="0065614C" w:rsidRDefault="0065614C" w:rsidP="0065614C">
      <w:pPr>
        <w:ind w:firstLine="567"/>
        <w:jc w:val="both"/>
        <w:rPr>
          <w:rFonts w:ascii="Tahoma" w:eastAsia="Calibri" w:hAnsi="Tahoma" w:cs="Tahoma"/>
          <w:color w:val="000000"/>
          <w:sz w:val="22"/>
          <w:szCs w:val="22"/>
        </w:rPr>
      </w:pPr>
      <w:r w:rsidRPr="0065614C">
        <w:rPr>
          <w:rFonts w:ascii="Tahoma" w:eastAsia="Calibri" w:hAnsi="Tahoma" w:cs="Tahoma"/>
          <w:color w:val="000000"/>
          <w:sz w:val="22"/>
          <w:szCs w:val="22"/>
        </w:rPr>
        <w:t xml:space="preserve">Por estos fundamentos, de conformidad con el informe de la Vocal Ponente Dra. Ada Rosa </w:t>
      </w:r>
      <w:proofErr w:type="spellStart"/>
      <w:r w:rsidRPr="0065614C">
        <w:rPr>
          <w:rFonts w:ascii="Tahoma" w:eastAsia="Calibri" w:hAnsi="Tahoma" w:cs="Tahoma"/>
          <w:color w:val="000000"/>
          <w:sz w:val="22"/>
          <w:szCs w:val="22"/>
        </w:rPr>
        <w:t>Basulto</w:t>
      </w:r>
      <w:proofErr w:type="spellEnd"/>
      <w:r w:rsidRPr="0065614C">
        <w:rPr>
          <w:rFonts w:ascii="Tahoma" w:eastAsia="Calibri" w:hAnsi="Tahoma" w:cs="Tahoma"/>
          <w:color w:val="000000"/>
          <w:sz w:val="22"/>
          <w:szCs w:val="22"/>
        </w:rPr>
        <w:t xml:space="preserve"> </w:t>
      </w:r>
      <w:proofErr w:type="spellStart"/>
      <w:r w:rsidRPr="0065614C">
        <w:rPr>
          <w:rFonts w:ascii="Tahoma" w:eastAsia="Calibri" w:hAnsi="Tahoma" w:cs="Tahoma"/>
          <w:color w:val="000000"/>
          <w:sz w:val="22"/>
          <w:szCs w:val="22"/>
        </w:rPr>
        <w:t>Liewald</w:t>
      </w:r>
      <w:proofErr w:type="spellEnd"/>
      <w:r w:rsidRPr="0065614C">
        <w:rPr>
          <w:rFonts w:ascii="Tahoma" w:eastAsia="Calibri" w:hAnsi="Tahoma" w:cs="Tahoma"/>
          <w:color w:val="000000"/>
          <w:sz w:val="22"/>
          <w:szCs w:val="22"/>
        </w:rPr>
        <w:t xml:space="preserve"> y la intervención de los Señores Vocales Dra. </w:t>
      </w:r>
      <w:proofErr w:type="spellStart"/>
      <w:r w:rsidRPr="0065614C">
        <w:rPr>
          <w:rFonts w:ascii="Tahoma" w:eastAsia="Calibri" w:hAnsi="Tahoma" w:cs="Tahoma"/>
          <w:color w:val="000000"/>
          <w:sz w:val="22"/>
          <w:szCs w:val="22"/>
        </w:rPr>
        <w:t>Janette</w:t>
      </w:r>
      <w:proofErr w:type="spellEnd"/>
      <w:r w:rsidRPr="0065614C">
        <w:rPr>
          <w:rFonts w:ascii="Tahoma" w:eastAsia="Calibri" w:hAnsi="Tahoma" w:cs="Tahoma"/>
          <w:color w:val="000000"/>
          <w:sz w:val="22"/>
          <w:szCs w:val="22"/>
        </w:rPr>
        <w:t xml:space="preserve"> </w:t>
      </w:r>
      <w:proofErr w:type="spellStart"/>
      <w:r w:rsidRPr="0065614C">
        <w:rPr>
          <w:rFonts w:ascii="Tahoma" w:eastAsia="Calibri" w:hAnsi="Tahoma" w:cs="Tahoma"/>
          <w:color w:val="000000"/>
          <w:sz w:val="22"/>
          <w:szCs w:val="22"/>
        </w:rPr>
        <w:t>Elke</w:t>
      </w:r>
      <w:proofErr w:type="spellEnd"/>
      <w:r w:rsidRPr="0065614C">
        <w:rPr>
          <w:rFonts w:ascii="Tahoma" w:eastAsia="Calibri" w:hAnsi="Tahoma" w:cs="Tahoma"/>
          <w:color w:val="000000"/>
          <w:sz w:val="22"/>
          <w:szCs w:val="22"/>
        </w:rPr>
        <w:t xml:space="preserve"> Ramírez </w:t>
      </w:r>
      <w:proofErr w:type="spellStart"/>
      <w:r w:rsidRPr="0065614C">
        <w:rPr>
          <w:rFonts w:ascii="Tahoma" w:eastAsia="Calibri" w:hAnsi="Tahoma" w:cs="Tahoma"/>
          <w:color w:val="000000"/>
          <w:sz w:val="22"/>
          <w:szCs w:val="22"/>
        </w:rPr>
        <w:t>Maynetto</w:t>
      </w:r>
      <w:proofErr w:type="spellEnd"/>
      <w:r w:rsidRPr="0065614C">
        <w:rPr>
          <w:rFonts w:ascii="Tahoma" w:eastAsia="Calibri" w:hAnsi="Tahoma" w:cs="Tahoma"/>
          <w:color w:val="000000"/>
          <w:sz w:val="22"/>
          <w:szCs w:val="22"/>
        </w:rPr>
        <w:t xml:space="preserve"> y Dr. Carlos Fernando Fonseca </w:t>
      </w:r>
      <w:proofErr w:type="spellStart"/>
      <w:r w:rsidRPr="0065614C">
        <w:rPr>
          <w:rFonts w:ascii="Tahoma" w:eastAsia="Calibri" w:hAnsi="Tahoma" w:cs="Tahoma"/>
          <w:color w:val="000000"/>
          <w:sz w:val="22"/>
          <w:szCs w:val="22"/>
        </w:rPr>
        <w:t>Oliveira</w:t>
      </w:r>
      <w:proofErr w:type="spellEnd"/>
      <w:r w:rsidRPr="0065614C">
        <w:rPr>
          <w:rFonts w:ascii="Tahoma" w:eastAsia="Calibri" w:hAnsi="Tahoma" w:cs="Tahoma"/>
          <w:color w:val="000000"/>
          <w:sz w:val="22"/>
          <w:szCs w:val="22"/>
        </w:rPr>
        <w:t>; atendiendo a la conformación de la Primera Sala del Tribunal de Contrataciones del Estado según lo dispuesto en la Resolución Nº 190-2010-OSCE/PRE de fecha 29 de marzo de 2010, en ejercicio de las facultades conferidas en el artículo 63º de la Ley de Contrataciones del Estado, aprobado por Decreto Legislativo Nº 1017, y su segunda disposición complementaria transitoria, así como los artículos 17º y 18º del Reglamento de Organización y Funciones del OSCE, aprobado por Decreto Supremo Nº 006-2009-EF; analizados los antecedentes y luego de agotado el debate correspondiente, por unanimidad</w:t>
      </w:r>
    </w:p>
    <w:p w:rsidR="0065614C" w:rsidRPr="0065614C" w:rsidRDefault="0065614C" w:rsidP="0065614C">
      <w:pPr>
        <w:ind w:firstLine="426"/>
        <w:jc w:val="both"/>
        <w:rPr>
          <w:rFonts w:ascii="Tahoma" w:hAnsi="Tahoma" w:cs="Tahoma"/>
          <w:sz w:val="22"/>
          <w:szCs w:val="22"/>
        </w:rPr>
      </w:pPr>
    </w:p>
    <w:p w:rsidR="0065614C" w:rsidRPr="0065614C" w:rsidRDefault="0065614C" w:rsidP="0065614C">
      <w:pPr>
        <w:ind w:firstLine="567"/>
        <w:jc w:val="both"/>
        <w:rPr>
          <w:rFonts w:ascii="Tahoma" w:hAnsi="Tahoma" w:cs="Tahoma"/>
          <w:b/>
          <w:sz w:val="22"/>
          <w:szCs w:val="22"/>
        </w:rPr>
      </w:pPr>
      <w:r w:rsidRPr="0065614C">
        <w:rPr>
          <w:rFonts w:ascii="Tahoma" w:hAnsi="Tahoma" w:cs="Tahoma"/>
          <w:b/>
          <w:sz w:val="22"/>
          <w:szCs w:val="22"/>
        </w:rPr>
        <w:t xml:space="preserve">LA SALA RESUELVE: </w:t>
      </w:r>
    </w:p>
    <w:p w:rsidR="0065614C" w:rsidRPr="0065614C" w:rsidRDefault="0065614C" w:rsidP="0065614C">
      <w:pPr>
        <w:jc w:val="both"/>
        <w:rPr>
          <w:rFonts w:ascii="Tahoma" w:hAnsi="Tahoma" w:cs="Tahoma"/>
          <w:snapToGrid w:val="0"/>
          <w:sz w:val="22"/>
          <w:szCs w:val="22"/>
        </w:rPr>
      </w:pPr>
    </w:p>
    <w:p w:rsidR="0065614C" w:rsidRPr="0065614C" w:rsidRDefault="0065614C" w:rsidP="0065614C">
      <w:pPr>
        <w:pStyle w:val="Prrafodelista"/>
        <w:numPr>
          <w:ilvl w:val="0"/>
          <w:numId w:val="5"/>
        </w:numPr>
        <w:tabs>
          <w:tab w:val="left" w:pos="180"/>
          <w:tab w:val="left" w:pos="540"/>
        </w:tabs>
        <w:ind w:left="426" w:hanging="426"/>
        <w:contextualSpacing/>
        <w:jc w:val="both"/>
        <w:rPr>
          <w:rFonts w:ascii="Tahoma" w:hAnsi="Tahoma" w:cs="Tahoma"/>
          <w:sz w:val="22"/>
          <w:szCs w:val="22"/>
        </w:rPr>
      </w:pPr>
      <w:r w:rsidRPr="0065614C">
        <w:rPr>
          <w:rFonts w:ascii="Tahoma" w:hAnsi="Tahoma" w:cs="Tahoma"/>
          <w:sz w:val="22"/>
          <w:szCs w:val="22"/>
        </w:rPr>
        <w:t>Declarar no ha lugar la imposición de sanción en contra de la empresa COPIA EXPRESS S.A.C. por su supuesta responsabilidad en la presentación de documento falso o inexacto durante su participación en el proceso de selección por Competencia Menor Nº CME-0001-2008-OFP/PETROPERU.</w:t>
      </w:r>
    </w:p>
    <w:p w:rsidR="0065614C" w:rsidRPr="0065614C" w:rsidRDefault="0065614C" w:rsidP="0065614C">
      <w:pPr>
        <w:pStyle w:val="Prrafodelista"/>
        <w:ind w:left="426"/>
        <w:jc w:val="both"/>
        <w:rPr>
          <w:rFonts w:ascii="Tahoma" w:hAnsi="Tahoma" w:cs="Tahoma"/>
          <w:color w:val="000000" w:themeColor="text1"/>
          <w:sz w:val="22"/>
          <w:szCs w:val="22"/>
        </w:rPr>
      </w:pPr>
    </w:p>
    <w:p w:rsidR="0065614C" w:rsidRPr="0065614C" w:rsidRDefault="0065614C" w:rsidP="0065614C">
      <w:pPr>
        <w:pStyle w:val="Textoindependiente21"/>
        <w:ind w:firstLine="567"/>
        <w:rPr>
          <w:rFonts w:cs="Tahoma"/>
          <w:szCs w:val="22"/>
        </w:rPr>
      </w:pPr>
      <w:r w:rsidRPr="0065614C">
        <w:rPr>
          <w:rFonts w:cs="Tahoma"/>
          <w:szCs w:val="22"/>
        </w:rPr>
        <w:t>Regístrese, comuníquese y publíquese.</w:t>
      </w:r>
    </w:p>
    <w:p w:rsidR="0065614C" w:rsidRPr="0065614C" w:rsidRDefault="0065614C" w:rsidP="0065614C">
      <w:pPr>
        <w:jc w:val="center"/>
        <w:rPr>
          <w:rFonts w:ascii="Tahoma" w:hAnsi="Tahoma" w:cs="Tahoma"/>
          <w:b/>
          <w:sz w:val="22"/>
          <w:szCs w:val="22"/>
        </w:rPr>
      </w:pPr>
    </w:p>
    <w:p w:rsidR="0065614C" w:rsidRPr="0065614C" w:rsidRDefault="0065614C" w:rsidP="0065614C">
      <w:pPr>
        <w:jc w:val="center"/>
        <w:rPr>
          <w:rFonts w:ascii="Tahoma" w:hAnsi="Tahoma" w:cs="Tahoma"/>
          <w:b/>
          <w:sz w:val="22"/>
          <w:szCs w:val="22"/>
        </w:rPr>
      </w:pPr>
    </w:p>
    <w:p w:rsidR="0065614C" w:rsidRPr="0065614C" w:rsidRDefault="0065614C" w:rsidP="0065614C">
      <w:pPr>
        <w:jc w:val="center"/>
        <w:rPr>
          <w:rFonts w:ascii="Tahoma" w:hAnsi="Tahoma" w:cs="Tahoma"/>
          <w:b/>
          <w:sz w:val="22"/>
          <w:szCs w:val="22"/>
        </w:rPr>
      </w:pPr>
    </w:p>
    <w:p w:rsidR="0065614C" w:rsidRPr="0065614C" w:rsidRDefault="0065614C" w:rsidP="0065614C">
      <w:pPr>
        <w:jc w:val="center"/>
        <w:rPr>
          <w:rFonts w:ascii="Tahoma" w:hAnsi="Tahoma" w:cs="Tahoma"/>
          <w:b/>
          <w:sz w:val="22"/>
          <w:szCs w:val="22"/>
        </w:rPr>
      </w:pPr>
    </w:p>
    <w:p w:rsidR="0065614C" w:rsidRPr="0065614C" w:rsidRDefault="0065614C" w:rsidP="0065614C">
      <w:pPr>
        <w:jc w:val="center"/>
        <w:rPr>
          <w:rFonts w:ascii="Tahoma" w:hAnsi="Tahoma" w:cs="Tahoma"/>
          <w:b/>
          <w:sz w:val="22"/>
          <w:szCs w:val="22"/>
        </w:rPr>
      </w:pPr>
    </w:p>
    <w:p w:rsidR="0065614C" w:rsidRPr="0065614C" w:rsidRDefault="0065614C" w:rsidP="0065614C">
      <w:pPr>
        <w:jc w:val="center"/>
        <w:rPr>
          <w:rFonts w:ascii="Tahoma" w:hAnsi="Tahoma" w:cs="Tahoma"/>
          <w:b/>
          <w:shadow/>
          <w:sz w:val="22"/>
          <w:szCs w:val="22"/>
          <w:lang w:val="pt-BR"/>
        </w:rPr>
      </w:pPr>
      <w:r w:rsidRPr="0065614C">
        <w:rPr>
          <w:rFonts w:ascii="Tahoma" w:hAnsi="Tahoma" w:cs="Tahoma"/>
          <w:b/>
          <w:shadow/>
          <w:sz w:val="22"/>
          <w:szCs w:val="22"/>
          <w:lang w:val="pt-BR"/>
        </w:rPr>
        <w:t>PRESIDENTE</w:t>
      </w:r>
    </w:p>
    <w:p w:rsidR="0065614C" w:rsidRPr="0065614C" w:rsidRDefault="0065614C" w:rsidP="0065614C">
      <w:pPr>
        <w:ind w:firstLine="708"/>
        <w:rPr>
          <w:rFonts w:ascii="Tahoma" w:hAnsi="Tahoma" w:cs="Tahoma"/>
          <w:b/>
          <w:shadow/>
          <w:sz w:val="22"/>
          <w:szCs w:val="22"/>
          <w:lang w:val="pt-BR"/>
        </w:rPr>
      </w:pPr>
    </w:p>
    <w:p w:rsidR="0065614C" w:rsidRPr="0065614C" w:rsidRDefault="0065614C" w:rsidP="0065614C">
      <w:pPr>
        <w:ind w:firstLine="708"/>
        <w:rPr>
          <w:rFonts w:ascii="Tahoma" w:hAnsi="Tahoma" w:cs="Tahoma"/>
          <w:b/>
          <w:shadow/>
          <w:sz w:val="22"/>
          <w:szCs w:val="22"/>
          <w:lang w:val="pt-BR"/>
        </w:rPr>
      </w:pPr>
      <w:r w:rsidRPr="0065614C">
        <w:rPr>
          <w:rFonts w:ascii="Tahoma" w:hAnsi="Tahoma" w:cs="Tahoma"/>
          <w:b/>
          <w:shadow/>
          <w:sz w:val="22"/>
          <w:szCs w:val="22"/>
          <w:lang w:val="pt-BR"/>
        </w:rPr>
        <w:t xml:space="preserve">VOCAL           </w:t>
      </w:r>
      <w:r w:rsidRPr="0065614C">
        <w:rPr>
          <w:rFonts w:ascii="Tahoma" w:hAnsi="Tahoma" w:cs="Tahoma"/>
          <w:b/>
          <w:shadow/>
          <w:sz w:val="22"/>
          <w:szCs w:val="22"/>
          <w:lang w:val="pt-BR"/>
        </w:rPr>
        <w:tab/>
      </w:r>
      <w:r w:rsidRPr="0065614C">
        <w:rPr>
          <w:rFonts w:ascii="Tahoma" w:hAnsi="Tahoma" w:cs="Tahoma"/>
          <w:b/>
          <w:shadow/>
          <w:sz w:val="22"/>
          <w:szCs w:val="22"/>
          <w:lang w:val="pt-BR"/>
        </w:rPr>
        <w:tab/>
        <w:t xml:space="preserve">                                                     VOCAL</w:t>
      </w:r>
    </w:p>
    <w:p w:rsidR="0065614C" w:rsidRPr="0065614C" w:rsidRDefault="0065614C" w:rsidP="0065614C">
      <w:pPr>
        <w:ind w:firstLine="708"/>
        <w:rPr>
          <w:rFonts w:ascii="Tahoma" w:hAnsi="Tahoma" w:cs="Tahoma"/>
          <w:b/>
          <w:shadow/>
          <w:sz w:val="22"/>
          <w:szCs w:val="22"/>
          <w:lang w:val="pt-BR"/>
        </w:rPr>
      </w:pPr>
    </w:p>
    <w:p w:rsidR="0065614C" w:rsidRPr="0065614C" w:rsidRDefault="0065614C" w:rsidP="0065614C">
      <w:pPr>
        <w:jc w:val="both"/>
        <w:rPr>
          <w:rFonts w:ascii="Tahoma" w:hAnsi="Tahoma" w:cs="Tahoma"/>
          <w:sz w:val="22"/>
          <w:szCs w:val="22"/>
          <w:lang w:val="pt-BR"/>
        </w:rPr>
      </w:pPr>
      <w:proofErr w:type="gramStart"/>
      <w:r w:rsidRPr="0065614C">
        <w:rPr>
          <w:rFonts w:ascii="Tahoma" w:hAnsi="Tahoma" w:cs="Tahoma"/>
          <w:sz w:val="22"/>
          <w:szCs w:val="22"/>
          <w:lang w:val="pt-BR"/>
        </w:rPr>
        <w:t>ss.</w:t>
      </w:r>
      <w:proofErr w:type="gramEnd"/>
    </w:p>
    <w:p w:rsidR="0065614C" w:rsidRPr="0065614C" w:rsidRDefault="0065614C" w:rsidP="0065614C">
      <w:pPr>
        <w:pStyle w:val="Textoindependiente21"/>
        <w:tabs>
          <w:tab w:val="left" w:pos="5250"/>
        </w:tabs>
        <w:rPr>
          <w:rFonts w:cs="Tahoma"/>
          <w:szCs w:val="22"/>
          <w:lang w:val="pt-BR"/>
        </w:rPr>
      </w:pPr>
      <w:proofErr w:type="spellStart"/>
      <w:r w:rsidRPr="0065614C">
        <w:rPr>
          <w:rFonts w:cs="Tahoma"/>
          <w:szCs w:val="22"/>
          <w:lang w:val="pt-BR"/>
        </w:rPr>
        <w:t>Basulto</w:t>
      </w:r>
      <w:proofErr w:type="spellEnd"/>
      <w:r w:rsidRPr="0065614C">
        <w:rPr>
          <w:rFonts w:cs="Tahoma"/>
          <w:szCs w:val="22"/>
          <w:lang w:val="pt-BR"/>
        </w:rPr>
        <w:t xml:space="preserve"> </w:t>
      </w:r>
      <w:proofErr w:type="spellStart"/>
      <w:r w:rsidRPr="0065614C">
        <w:rPr>
          <w:rFonts w:cs="Tahoma"/>
          <w:szCs w:val="22"/>
          <w:lang w:val="pt-BR"/>
        </w:rPr>
        <w:t>Liewald</w:t>
      </w:r>
      <w:proofErr w:type="spellEnd"/>
      <w:r w:rsidRPr="0065614C">
        <w:rPr>
          <w:rFonts w:cs="Tahoma"/>
          <w:szCs w:val="22"/>
          <w:lang w:val="pt-BR"/>
        </w:rPr>
        <w:t>.</w:t>
      </w:r>
    </w:p>
    <w:p w:rsidR="0065614C" w:rsidRPr="0065614C" w:rsidRDefault="0065614C" w:rsidP="0065614C">
      <w:pPr>
        <w:pStyle w:val="Textoindependiente21"/>
        <w:tabs>
          <w:tab w:val="left" w:pos="5250"/>
        </w:tabs>
        <w:rPr>
          <w:rFonts w:cs="Tahoma"/>
          <w:szCs w:val="22"/>
          <w:lang w:val="pt-BR"/>
        </w:rPr>
      </w:pPr>
      <w:proofErr w:type="spellStart"/>
      <w:r w:rsidRPr="0065614C">
        <w:rPr>
          <w:rFonts w:cs="Tahoma"/>
          <w:szCs w:val="22"/>
          <w:lang w:val="en-US"/>
        </w:rPr>
        <w:t>Ramírez</w:t>
      </w:r>
      <w:proofErr w:type="spellEnd"/>
      <w:r w:rsidRPr="0065614C">
        <w:rPr>
          <w:rFonts w:cs="Tahoma"/>
          <w:szCs w:val="22"/>
          <w:lang w:val="en-US"/>
        </w:rPr>
        <w:t xml:space="preserve"> </w:t>
      </w:r>
      <w:proofErr w:type="spellStart"/>
      <w:r w:rsidRPr="0065614C">
        <w:rPr>
          <w:rFonts w:cs="Tahoma"/>
          <w:szCs w:val="22"/>
          <w:lang w:val="en-US"/>
        </w:rPr>
        <w:t>Maynetto</w:t>
      </w:r>
      <w:proofErr w:type="spellEnd"/>
      <w:r w:rsidRPr="0065614C">
        <w:rPr>
          <w:rFonts w:cs="Tahoma"/>
          <w:szCs w:val="22"/>
          <w:lang w:val="en-US"/>
        </w:rPr>
        <w:t>.</w:t>
      </w:r>
    </w:p>
    <w:p w:rsidR="008B738B" w:rsidRDefault="0065614C" w:rsidP="00D73CED">
      <w:pPr>
        <w:pStyle w:val="Textoindependiente21"/>
      </w:pPr>
      <w:r w:rsidRPr="0065614C">
        <w:rPr>
          <w:rFonts w:cs="Tahoma"/>
          <w:szCs w:val="22"/>
        </w:rPr>
        <w:t xml:space="preserve">Fonseca </w:t>
      </w:r>
      <w:proofErr w:type="spellStart"/>
      <w:r w:rsidRPr="0065614C">
        <w:rPr>
          <w:rFonts w:cs="Tahoma"/>
          <w:szCs w:val="22"/>
        </w:rPr>
        <w:t>Oliveira</w:t>
      </w:r>
      <w:proofErr w:type="spellEnd"/>
      <w:r w:rsidRPr="0065614C">
        <w:rPr>
          <w:rFonts w:cs="Tahoma"/>
          <w:szCs w:val="22"/>
        </w:rPr>
        <w:t>.</w:t>
      </w:r>
    </w:p>
    <w:sectPr w:rsidR="008B738B" w:rsidSect="002E1B25">
      <w:headerReference w:type="default" r:id="rId9"/>
      <w:footerReference w:type="default" r:id="rId10"/>
      <w:pgSz w:w="11906" w:h="16838"/>
      <w:pgMar w:top="3403"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9B8" w:rsidRDefault="00E159B8" w:rsidP="0065614C">
      <w:r>
        <w:separator/>
      </w:r>
    </w:p>
  </w:endnote>
  <w:endnote w:type="continuationSeparator" w:id="1">
    <w:p w:rsidR="00E159B8" w:rsidRDefault="00E159B8" w:rsidP="0065614C">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00"/>
    <w:family w:val="swiss"/>
    <w:pitch w:val="variable"/>
    <w:sig w:usb0="61002A87" w:usb1="80000000" w:usb2="00000008" w:usb3="00000000" w:csb0="0001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49141"/>
      <w:docPartObj>
        <w:docPartGallery w:val="Page Numbers (Bottom of Page)"/>
        <w:docPartUnique/>
      </w:docPartObj>
    </w:sdtPr>
    <w:sdtContent>
      <w:sdt>
        <w:sdtPr>
          <w:id w:val="216747541"/>
          <w:docPartObj>
            <w:docPartGallery w:val="Page Numbers (Top of Page)"/>
            <w:docPartUnique/>
          </w:docPartObj>
        </w:sdtPr>
        <w:sdtContent>
          <w:p w:rsidR="002E1B25" w:rsidRDefault="00D51636">
            <w:pPr>
              <w:pStyle w:val="Piedepgina"/>
              <w:jc w:val="center"/>
            </w:pPr>
            <w:r>
              <w:t xml:space="preserve">Página </w:t>
            </w:r>
            <w:r w:rsidR="008E1A5F">
              <w:rPr>
                <w:b/>
              </w:rPr>
              <w:fldChar w:fldCharType="begin"/>
            </w:r>
            <w:r>
              <w:rPr>
                <w:b/>
              </w:rPr>
              <w:instrText>PAGE</w:instrText>
            </w:r>
            <w:r w:rsidR="008E1A5F">
              <w:rPr>
                <w:b/>
              </w:rPr>
              <w:fldChar w:fldCharType="separate"/>
            </w:r>
            <w:r w:rsidR="00E92155">
              <w:rPr>
                <w:b/>
                <w:noProof/>
              </w:rPr>
              <w:t>1</w:t>
            </w:r>
            <w:r w:rsidR="008E1A5F">
              <w:rPr>
                <w:b/>
              </w:rPr>
              <w:fldChar w:fldCharType="end"/>
            </w:r>
            <w:r>
              <w:t xml:space="preserve"> de </w:t>
            </w:r>
            <w:r w:rsidR="008E1A5F">
              <w:rPr>
                <w:b/>
              </w:rPr>
              <w:fldChar w:fldCharType="begin"/>
            </w:r>
            <w:r>
              <w:rPr>
                <w:b/>
              </w:rPr>
              <w:instrText>NUMPAGES</w:instrText>
            </w:r>
            <w:r w:rsidR="008E1A5F">
              <w:rPr>
                <w:b/>
              </w:rPr>
              <w:fldChar w:fldCharType="separate"/>
            </w:r>
            <w:r w:rsidR="00E92155">
              <w:rPr>
                <w:b/>
                <w:noProof/>
              </w:rPr>
              <w:t>9</w:t>
            </w:r>
            <w:r w:rsidR="008E1A5F">
              <w:rPr>
                <w:b/>
              </w:rPr>
              <w:fldChar w:fldCharType="end"/>
            </w:r>
          </w:p>
        </w:sdtContent>
      </w:sdt>
    </w:sdtContent>
  </w:sdt>
  <w:p w:rsidR="002E1B25" w:rsidRDefault="00E92155">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9B8" w:rsidRDefault="00E159B8" w:rsidP="0065614C">
      <w:r>
        <w:separator/>
      </w:r>
    </w:p>
  </w:footnote>
  <w:footnote w:type="continuationSeparator" w:id="1">
    <w:p w:rsidR="00E159B8" w:rsidRDefault="00E159B8" w:rsidP="0065614C">
      <w:r>
        <w:continuationSeparator/>
      </w:r>
    </w:p>
  </w:footnote>
  <w:footnote w:id="2">
    <w:p w:rsidR="0065614C" w:rsidRPr="000619B0" w:rsidRDefault="0065614C" w:rsidP="0065614C">
      <w:pPr>
        <w:pStyle w:val="Textonotapie"/>
        <w:ind w:left="154" w:hanging="154"/>
        <w:jc w:val="both"/>
        <w:rPr>
          <w:b/>
        </w:rPr>
      </w:pPr>
      <w:r w:rsidRPr="00A14059">
        <w:rPr>
          <w:rStyle w:val="Refdenotaalpie"/>
          <w:rFonts w:ascii="Tahoma" w:hAnsi="Tahoma" w:cs="Tahoma"/>
          <w:sz w:val="16"/>
          <w:szCs w:val="16"/>
        </w:rPr>
        <w:footnoteRef/>
      </w:r>
      <w:r w:rsidRPr="00A14059">
        <w:rPr>
          <w:rFonts w:ascii="Tahoma" w:hAnsi="Tahoma" w:cs="Tahoma"/>
          <w:sz w:val="16"/>
          <w:szCs w:val="16"/>
        </w:rPr>
        <w:t xml:space="preserve"> </w:t>
      </w:r>
      <w:r w:rsidRPr="000619B0">
        <w:rPr>
          <w:b/>
        </w:rPr>
        <w:t>Artículo 294.- Causales de aplicación de sanción a los proveedores, participantes, postores y contratistas</w:t>
      </w:r>
    </w:p>
    <w:p w:rsidR="0065614C" w:rsidRPr="000619B0" w:rsidRDefault="0065614C" w:rsidP="0065614C">
      <w:pPr>
        <w:pStyle w:val="Textonotapie"/>
        <w:ind w:left="154"/>
        <w:jc w:val="both"/>
      </w:pPr>
      <w:r w:rsidRPr="000619B0">
        <w:t>El Tribunal impondrá la sanción administrativa de inhabilitación temporal o definitiva a los proveedores, participantes, postores o contratistas que:</w:t>
      </w:r>
    </w:p>
    <w:p w:rsidR="0065614C" w:rsidRPr="000619B0" w:rsidRDefault="0065614C" w:rsidP="0065614C">
      <w:pPr>
        <w:pStyle w:val="Textonotapie"/>
        <w:ind w:left="154"/>
        <w:jc w:val="both"/>
      </w:pPr>
      <w:r w:rsidRPr="000619B0">
        <w:t>(…)</w:t>
      </w:r>
    </w:p>
    <w:p w:rsidR="0065614C" w:rsidRPr="000619B0" w:rsidRDefault="0065614C" w:rsidP="0065614C">
      <w:pPr>
        <w:pStyle w:val="Textonotapie"/>
        <w:ind w:left="154"/>
        <w:jc w:val="both"/>
      </w:pPr>
      <w:r w:rsidRPr="000619B0">
        <w:t xml:space="preserve">9) </w:t>
      </w:r>
      <w:r w:rsidRPr="00C90F9A">
        <w:t>Presenten documentos falsos o inexactos a las Entidades o al CONSUCODE.</w:t>
      </w:r>
    </w:p>
    <w:p w:rsidR="0065614C" w:rsidRPr="000619B0" w:rsidRDefault="0065614C" w:rsidP="0065614C">
      <w:pPr>
        <w:pStyle w:val="Textonotapie"/>
        <w:ind w:left="154"/>
        <w:jc w:val="both"/>
      </w:pPr>
      <w:r w:rsidRPr="000619B0">
        <w:t>(…)</w:t>
      </w:r>
    </w:p>
  </w:footnote>
  <w:footnote w:id="3">
    <w:p w:rsidR="0065614C" w:rsidRPr="000619B0" w:rsidRDefault="0065614C" w:rsidP="0065614C">
      <w:pPr>
        <w:pStyle w:val="Textonotapie"/>
        <w:jc w:val="both"/>
      </w:pPr>
    </w:p>
    <w:p w:rsidR="0065614C" w:rsidRDefault="0065614C" w:rsidP="0065614C">
      <w:pPr>
        <w:pStyle w:val="Textonotapie"/>
        <w:jc w:val="both"/>
      </w:pPr>
      <w:r w:rsidRPr="000619B0">
        <w:rPr>
          <w:rStyle w:val="Refdenotaalpie"/>
        </w:rPr>
        <w:footnoteRef/>
      </w:r>
      <w:r w:rsidRPr="000619B0">
        <w:t xml:space="preserve"> Publicada el 23 de julio de 2006.</w:t>
      </w:r>
    </w:p>
    <w:p w:rsidR="0065614C" w:rsidRPr="000619B0" w:rsidRDefault="0065614C" w:rsidP="0065614C">
      <w:pPr>
        <w:pStyle w:val="Textonotapie"/>
        <w:jc w:val="both"/>
      </w:pPr>
    </w:p>
  </w:footnote>
  <w:footnote w:id="4">
    <w:p w:rsidR="0065614C" w:rsidRPr="003B5E7E" w:rsidRDefault="0065614C" w:rsidP="0065614C">
      <w:pPr>
        <w:pStyle w:val="Textonotapie"/>
        <w:ind w:left="154" w:hanging="140"/>
        <w:jc w:val="both"/>
      </w:pPr>
      <w:r w:rsidRPr="00A14059">
        <w:rPr>
          <w:rStyle w:val="Refdenotaalpie"/>
          <w:rFonts w:ascii="Tahoma" w:hAnsi="Tahoma" w:cs="Tahoma"/>
          <w:sz w:val="16"/>
          <w:szCs w:val="16"/>
        </w:rPr>
        <w:footnoteRef/>
      </w:r>
      <w:r w:rsidRPr="00A14059">
        <w:rPr>
          <w:rFonts w:ascii="Tahoma" w:hAnsi="Tahoma" w:cs="Tahoma"/>
          <w:sz w:val="16"/>
          <w:szCs w:val="16"/>
        </w:rPr>
        <w:t xml:space="preserve"> </w:t>
      </w:r>
      <w:r w:rsidRPr="003B5E7E">
        <w:rPr>
          <w:iCs/>
          <w:lang w:eastAsia="en-US"/>
        </w:rPr>
        <w:t>Publicada el 29 de octubre de 2006, y posteriormente modificada por Resolución Nº 171-2008-CONSUCODE/PRE y Resolución Nº 523-2009-OSCE/PRE, publicadas el 12 de abril de 2008 y 14 de diciembre de 2009, respectivamente</w:t>
      </w:r>
      <w:r>
        <w:rPr>
          <w:iCs/>
          <w:lang w:eastAsia="en-US"/>
        </w:rPr>
        <w:t>.</w:t>
      </w:r>
    </w:p>
  </w:footnote>
  <w:footnote w:id="5">
    <w:p w:rsidR="0065614C" w:rsidRPr="007D5545" w:rsidRDefault="0065614C" w:rsidP="0065614C">
      <w:pPr>
        <w:pStyle w:val="Textonotapie"/>
        <w:ind w:left="210" w:hanging="210"/>
        <w:jc w:val="both"/>
        <w:rPr>
          <w:iCs/>
          <w:lang w:eastAsia="en-US"/>
        </w:rPr>
      </w:pPr>
      <w:r w:rsidRPr="007D5545">
        <w:rPr>
          <w:rStyle w:val="Refdenotaalpie"/>
          <w:iCs/>
        </w:rPr>
        <w:footnoteRef/>
      </w:r>
      <w:r w:rsidRPr="007D5545">
        <w:rPr>
          <w:iCs/>
          <w:lang w:eastAsia="en-US"/>
        </w:rPr>
        <w:t xml:space="preserve"> </w:t>
      </w:r>
      <w:r>
        <w:rPr>
          <w:iCs/>
          <w:lang w:eastAsia="en-US"/>
        </w:rPr>
        <w:t xml:space="preserve"> </w:t>
      </w:r>
      <w:r w:rsidRPr="007D5545">
        <w:rPr>
          <w:iCs/>
          <w:lang w:eastAsia="en-US"/>
        </w:rPr>
        <w:t xml:space="preserve">El Principio de Legalidad en materia sancionadora impide que se pueda atribuirla comisión de una falta si ésta no está previamente determinada en la Ley, y también prohíbe que se pueda aplicar una sanción si ésta no está también determinada por Ley ( Sentencia del Tribunal Constitucional emitida el 16 de Abril de 2003 en el </w:t>
      </w:r>
      <w:proofErr w:type="spellStart"/>
      <w:r w:rsidRPr="007D5545">
        <w:rPr>
          <w:iCs/>
          <w:lang w:eastAsia="en-US"/>
        </w:rPr>
        <w:t>Exp</w:t>
      </w:r>
      <w:proofErr w:type="spellEnd"/>
      <w:r w:rsidRPr="007D5545">
        <w:rPr>
          <w:iCs/>
          <w:lang w:eastAsia="en-US"/>
        </w:rPr>
        <w:t xml:space="preserve">. 2050-2002-AT-TC sobre acción de amparo interpuesta por Flor Milagros Ramos </w:t>
      </w:r>
      <w:proofErr w:type="spellStart"/>
      <w:r w:rsidRPr="007D5545">
        <w:rPr>
          <w:iCs/>
          <w:lang w:eastAsia="en-US"/>
        </w:rPr>
        <w:t>Colque</w:t>
      </w:r>
      <w:proofErr w:type="spellEnd"/>
      <w:r w:rsidRPr="007D5545">
        <w:rPr>
          <w:iCs/>
          <w:lang w:eastAsia="en-US"/>
        </w:rPr>
        <w:t>, contra la Resolución Nº 544-2000-IN/PNP del 04 de octubre del 2000 y la Resolución Suprema ficta derivada como consecuencia de la reconsideración formulada).</w:t>
      </w:r>
    </w:p>
    <w:p w:rsidR="0065614C" w:rsidRPr="007D5545" w:rsidRDefault="0065614C" w:rsidP="0065614C">
      <w:pPr>
        <w:pStyle w:val="Textonotapie"/>
      </w:pPr>
    </w:p>
  </w:footnote>
  <w:footnote w:id="6">
    <w:p w:rsidR="0065614C" w:rsidRPr="007D5545" w:rsidRDefault="0065614C" w:rsidP="0065614C">
      <w:pPr>
        <w:pStyle w:val="Textonotapie"/>
        <w:ind w:left="196" w:hanging="196"/>
        <w:jc w:val="both"/>
        <w:rPr>
          <w:iCs/>
          <w:lang w:eastAsia="en-US"/>
        </w:rPr>
      </w:pPr>
      <w:r w:rsidRPr="007D5545">
        <w:rPr>
          <w:rStyle w:val="Refdenotaalpie"/>
          <w:iCs/>
        </w:rPr>
        <w:footnoteRef/>
      </w:r>
      <w:r w:rsidRPr="007D5545">
        <w:rPr>
          <w:iCs/>
          <w:lang w:eastAsia="en-US"/>
        </w:rPr>
        <w:t xml:space="preserve"> Dicho </w:t>
      </w:r>
      <w:r>
        <w:rPr>
          <w:iCs/>
          <w:lang w:eastAsia="en-US"/>
        </w:rPr>
        <w:t>precepto</w:t>
      </w:r>
      <w:r w:rsidRPr="007D5545">
        <w:rPr>
          <w:iCs/>
          <w:lang w:eastAsia="en-US"/>
        </w:rPr>
        <w:t xml:space="preserve"> comprende una doble garantía </w:t>
      </w:r>
      <w:r>
        <w:rPr>
          <w:iCs/>
          <w:lang w:eastAsia="en-US"/>
        </w:rPr>
        <w:t>(…</w:t>
      </w:r>
      <w:r w:rsidRPr="007D5545">
        <w:rPr>
          <w:iCs/>
          <w:lang w:eastAsia="en-US"/>
        </w:rPr>
        <w:t>) la segunda, de carácter formal, relativa a la exigencia y existencia de una norma de adecuado rango y que este Tribunal ha identificado como Ley o norma con rango de Ley”</w:t>
      </w:r>
    </w:p>
    <w:p w:rsidR="0065614C" w:rsidRPr="007D5545" w:rsidRDefault="0065614C" w:rsidP="0065614C">
      <w:pPr>
        <w:pStyle w:val="Textonotapie"/>
        <w:jc w:val="both"/>
      </w:pPr>
    </w:p>
  </w:footnote>
  <w:footnote w:id="7">
    <w:p w:rsidR="0065614C" w:rsidRDefault="0065614C" w:rsidP="0065614C">
      <w:pPr>
        <w:pStyle w:val="Textonotapie"/>
        <w:ind w:left="196" w:hanging="196"/>
        <w:jc w:val="both"/>
        <w:rPr>
          <w:iCs/>
          <w:color w:val="000000"/>
          <w:lang w:eastAsia="en-US"/>
        </w:rPr>
      </w:pPr>
      <w:r w:rsidRPr="007D5545">
        <w:rPr>
          <w:rStyle w:val="Refdenotaalpie"/>
          <w:iCs/>
        </w:rPr>
        <w:footnoteRef/>
      </w:r>
      <w:r w:rsidRPr="007D5545">
        <w:rPr>
          <w:iCs/>
          <w:lang w:eastAsia="en-US"/>
        </w:rPr>
        <w:t xml:space="preserve"> Nótese que, según lo previsto en el numerales 9 y 14 del Reglamento de Gestión de Datos de Proveedores Calificados de PETROPERÚ </w:t>
      </w:r>
      <w:r>
        <w:rPr>
          <w:iCs/>
          <w:lang w:eastAsia="en-US"/>
        </w:rPr>
        <w:t xml:space="preserve">S.A. </w:t>
      </w:r>
      <w:r w:rsidRPr="007D5545">
        <w:rPr>
          <w:iCs/>
          <w:lang w:eastAsia="en-US"/>
        </w:rPr>
        <w:t>(Resolución N</w:t>
      </w:r>
      <w:r>
        <w:rPr>
          <w:iCs/>
          <w:lang w:eastAsia="en-US"/>
        </w:rPr>
        <w:t>º</w:t>
      </w:r>
      <w:r w:rsidRPr="007D5545">
        <w:rPr>
          <w:iCs/>
          <w:lang w:eastAsia="en-US"/>
        </w:rPr>
        <w:t xml:space="preserve"> 456-2006-CONSUCODE-PRE), el Comité </w:t>
      </w:r>
      <w:r w:rsidRPr="007D5545">
        <w:rPr>
          <w:iCs/>
          <w:color w:val="000000"/>
          <w:lang w:eastAsia="en-US"/>
        </w:rPr>
        <w:t>de Calificación de Proveedores es el órgano encargado de imponer sanciones administrativas cometidas en el marco de procesos de selección convocados por PETROPERÚ S.A.; lo que contraviene el mandato contenido en el artículo 59 de la Ley Nº 26850, concordante con el artículo 293 de su Reglamento, aprobado por Decreto Supremo Nº 084-2004-PCM, vigentes durante la comisión de los hechos, en el que expresamente se dispone que la facultad de imponer sanciones a los proveedores, participantes, postores y contratistas que contravengan las disposiciones de esta Ley, su Reglamento y normas complementarias, reside en exclusividad en el Tribunal.</w:t>
      </w:r>
    </w:p>
    <w:p w:rsidR="0065614C" w:rsidRPr="007D5545" w:rsidRDefault="0065614C" w:rsidP="0065614C">
      <w:pPr>
        <w:pStyle w:val="Textonotapie"/>
        <w:ind w:left="196" w:hanging="196"/>
        <w:jc w:val="both"/>
      </w:pPr>
    </w:p>
  </w:footnote>
  <w:footnote w:id="8">
    <w:p w:rsidR="0065614C" w:rsidRPr="004B0C62" w:rsidRDefault="0065614C" w:rsidP="0065614C">
      <w:pPr>
        <w:pStyle w:val="Textonotapie"/>
        <w:ind w:left="196" w:hanging="196"/>
        <w:jc w:val="both"/>
        <w:rPr>
          <w:iCs/>
          <w:lang w:eastAsia="en-US"/>
        </w:rPr>
      </w:pPr>
      <w:r w:rsidRPr="00A14059">
        <w:rPr>
          <w:rStyle w:val="Refdenotaalpie"/>
          <w:rFonts w:ascii="Tahoma" w:hAnsi="Tahoma" w:cs="Tahoma"/>
          <w:iCs/>
          <w:sz w:val="16"/>
          <w:szCs w:val="16"/>
        </w:rPr>
        <w:footnoteRef/>
      </w:r>
      <w:r w:rsidRPr="00A14059">
        <w:rPr>
          <w:rFonts w:ascii="Tahoma" w:hAnsi="Tahoma" w:cs="Tahoma"/>
          <w:iCs/>
          <w:sz w:val="16"/>
          <w:szCs w:val="16"/>
          <w:lang w:eastAsia="en-US"/>
        </w:rPr>
        <w:t xml:space="preserve"> </w:t>
      </w:r>
      <w:r w:rsidRPr="004B0C62">
        <w:rPr>
          <w:iCs/>
          <w:lang w:eastAsia="en-US"/>
        </w:rPr>
        <w:t>En el numeral 7 de los Fundamentos de la citada Resolución, el Tribunal Constitucional establece que la administración pública, a través de sus tribunales administrativos o de sus órganos colegiados, no sólo tiene la facultad de hacer cumplir la Constitución –dada su fuerza normativa-, sino también el deber constitucional de realizar el control difuso de las normas que sustentan los actos administrativos y que son contrarias a la Constitución o a la interpretación que de ella  haya realizado el Tribunal Constitucional (Artículo VI del Título Preliminar del Código Procesal Constitucional). Ello se sustenta, en primer lugar, en que si bien la Constitución, de conformidad con el párrafo segundo del artículo 138, reconoce  a los jueces la potestad  para realizar el control difuso, de ahí no se deriva que dicha potestad les corresponda únicamente a los jueces, ni tampoco que el control difuso se realice únicamente en el marco de un proceso judicial.</w:t>
      </w:r>
    </w:p>
    <w:p w:rsidR="0065614C" w:rsidRPr="004B0C62" w:rsidRDefault="0065614C" w:rsidP="0065614C">
      <w:pPr>
        <w:pStyle w:val="Textonotapie"/>
        <w:jc w:val="both"/>
      </w:pPr>
    </w:p>
  </w:footnote>
  <w:footnote w:id="9">
    <w:p w:rsidR="0065614C" w:rsidRPr="004B0C62" w:rsidRDefault="0065614C" w:rsidP="0065614C">
      <w:pPr>
        <w:pStyle w:val="Textonotapie"/>
        <w:jc w:val="both"/>
        <w:rPr>
          <w:iCs/>
          <w:lang w:eastAsia="en-US"/>
        </w:rPr>
      </w:pPr>
      <w:r w:rsidRPr="004B0C62">
        <w:rPr>
          <w:rStyle w:val="Refdenotaalpie"/>
          <w:iCs/>
        </w:rPr>
        <w:footnoteRef/>
      </w:r>
      <w:r w:rsidRPr="004B0C62">
        <w:rPr>
          <w:iCs/>
          <w:lang w:eastAsia="en-US"/>
        </w:rPr>
        <w:t xml:space="preserve"> </w:t>
      </w:r>
      <w:r w:rsidRPr="004B0C62">
        <w:rPr>
          <w:b/>
          <w:bCs/>
          <w:iCs/>
          <w:lang w:eastAsia="en-US"/>
        </w:rPr>
        <w:t>Artículo 51.- Jerarquía y publicidad de las normas</w:t>
      </w:r>
    </w:p>
    <w:p w:rsidR="0065614C" w:rsidRPr="004B0C62" w:rsidRDefault="0065614C" w:rsidP="0065614C">
      <w:pPr>
        <w:pStyle w:val="Textonotapie"/>
        <w:ind w:left="210" w:hanging="14"/>
        <w:jc w:val="both"/>
        <w:rPr>
          <w:iCs/>
          <w:lang w:eastAsia="en-US"/>
        </w:rPr>
      </w:pPr>
      <w:r w:rsidRPr="004B0C62">
        <w:rPr>
          <w:iCs/>
          <w:lang w:eastAsia="en-US"/>
        </w:rPr>
        <w:t>La Constitución Prevalece sobre toda norma legal; la ley, sobre las normas de inferior jerarquía, y así sucesivamente (…).</w:t>
      </w:r>
    </w:p>
    <w:p w:rsidR="0065614C" w:rsidRPr="004B0C62" w:rsidRDefault="0065614C" w:rsidP="0065614C">
      <w:pPr>
        <w:pStyle w:val="Textonotapie"/>
        <w:jc w:val="both"/>
      </w:pPr>
    </w:p>
  </w:footnote>
  <w:footnote w:id="10">
    <w:p w:rsidR="0065614C" w:rsidRPr="004B0C62" w:rsidRDefault="0065614C" w:rsidP="0065614C">
      <w:pPr>
        <w:pStyle w:val="Textonotapie"/>
        <w:jc w:val="both"/>
        <w:rPr>
          <w:b/>
          <w:bCs/>
          <w:iCs/>
          <w:lang w:eastAsia="en-US"/>
        </w:rPr>
      </w:pPr>
      <w:r w:rsidRPr="004B0C62">
        <w:rPr>
          <w:rStyle w:val="Refdenotaalpie"/>
          <w:iCs/>
        </w:rPr>
        <w:footnoteRef/>
      </w:r>
      <w:r w:rsidRPr="004B0C62">
        <w:rPr>
          <w:iCs/>
          <w:lang w:eastAsia="en-US"/>
        </w:rPr>
        <w:t xml:space="preserve"> </w:t>
      </w:r>
      <w:r w:rsidRPr="004B0C62">
        <w:rPr>
          <w:b/>
          <w:bCs/>
          <w:iCs/>
          <w:lang w:eastAsia="en-US"/>
        </w:rPr>
        <w:t>Artículo 138.- Función Jurisdiccional</w:t>
      </w:r>
    </w:p>
    <w:p w:rsidR="0065614C" w:rsidRPr="004B0C62" w:rsidRDefault="0065614C" w:rsidP="0065614C">
      <w:pPr>
        <w:pStyle w:val="Textonotapie"/>
        <w:ind w:left="154"/>
        <w:jc w:val="both"/>
        <w:rPr>
          <w:iCs/>
          <w:lang w:eastAsia="en-US"/>
        </w:rPr>
      </w:pPr>
      <w:r w:rsidRPr="004B0C62">
        <w:rPr>
          <w:iCs/>
          <w:lang w:eastAsia="en-US"/>
        </w:rPr>
        <w:t>(…) En todo proceso, de existir incompatibilidad entre una norma constitucional y una norma legal, los jueces prefieren la primera. Igualmente, prefieren la norma legal sobre toda otra norma de rango inferior.</w:t>
      </w:r>
    </w:p>
    <w:p w:rsidR="0065614C" w:rsidRPr="004B0C62" w:rsidRDefault="0065614C" w:rsidP="0065614C">
      <w:pPr>
        <w:pStyle w:val="Textonotapie"/>
        <w:jc w:val="both"/>
      </w:pPr>
    </w:p>
  </w:footnote>
  <w:footnote w:id="11">
    <w:p w:rsidR="0065614C" w:rsidRPr="004B0C62" w:rsidRDefault="0065614C" w:rsidP="0065614C">
      <w:pPr>
        <w:pStyle w:val="Textonotapie"/>
        <w:jc w:val="both"/>
        <w:rPr>
          <w:iCs/>
          <w:lang w:eastAsia="en-US"/>
        </w:rPr>
      </w:pPr>
      <w:r w:rsidRPr="004B0C62">
        <w:rPr>
          <w:rStyle w:val="Refdenotaalpie"/>
          <w:iCs/>
        </w:rPr>
        <w:footnoteRef/>
      </w:r>
      <w:r w:rsidRPr="004B0C62">
        <w:rPr>
          <w:iCs/>
          <w:lang w:eastAsia="en-US"/>
        </w:rPr>
        <w:t xml:space="preserve"> P</w:t>
      </w:r>
      <w:r>
        <w:rPr>
          <w:iCs/>
          <w:lang w:eastAsia="en-US"/>
        </w:rPr>
        <w:t>ublicada el 12 de abril de 2008 y que entró en vigencia al decimo día hábil de su publicación, según lo dispuesto en su artículo tercero.</w:t>
      </w:r>
    </w:p>
    <w:p w:rsidR="0065614C" w:rsidRPr="004B0C62" w:rsidRDefault="0065614C" w:rsidP="0065614C">
      <w:pPr>
        <w:pStyle w:val="Textonotapie"/>
        <w:jc w:val="both"/>
      </w:pPr>
    </w:p>
  </w:footnote>
  <w:footnote w:id="12">
    <w:p w:rsidR="0065614C" w:rsidRPr="004B0C62" w:rsidRDefault="0065614C" w:rsidP="0065614C">
      <w:pPr>
        <w:pStyle w:val="Textonotapie"/>
        <w:ind w:left="210" w:hanging="210"/>
        <w:jc w:val="both"/>
        <w:rPr>
          <w:iCs/>
          <w:lang w:eastAsia="en-US"/>
        </w:rPr>
      </w:pPr>
      <w:r w:rsidRPr="004B0C62">
        <w:rPr>
          <w:rStyle w:val="Refdenotaalpie"/>
          <w:iCs/>
        </w:rPr>
        <w:footnoteRef/>
      </w:r>
      <w:r w:rsidRPr="004B0C62">
        <w:rPr>
          <w:iCs/>
          <w:lang w:eastAsia="en-US"/>
        </w:rPr>
        <w:t xml:space="preserve"> Téngase presente que dicho cuerpo normativo fue derogado por Decreto Legislativo Nº 1017, que aprobó la Ley de Contrataciones y Adquisiciones del Estado.</w:t>
      </w:r>
    </w:p>
    <w:p w:rsidR="0065614C" w:rsidRPr="004B0C62" w:rsidRDefault="0065614C" w:rsidP="0065614C">
      <w:pPr>
        <w:pStyle w:val="Textonotapie"/>
        <w:jc w:val="both"/>
      </w:pPr>
    </w:p>
  </w:footnote>
  <w:footnote w:id="13">
    <w:p w:rsidR="0065614C" w:rsidRPr="004B0C62" w:rsidRDefault="0065614C" w:rsidP="0065614C">
      <w:pPr>
        <w:pStyle w:val="Textonotapie"/>
        <w:jc w:val="both"/>
        <w:rPr>
          <w:iCs/>
          <w:lang w:eastAsia="en-US"/>
        </w:rPr>
      </w:pPr>
      <w:r w:rsidRPr="004B0C62">
        <w:rPr>
          <w:rStyle w:val="Refdenotaalpie"/>
          <w:iCs/>
        </w:rPr>
        <w:footnoteRef/>
      </w:r>
      <w:r w:rsidRPr="004B0C62">
        <w:rPr>
          <w:iCs/>
          <w:lang w:eastAsia="en-US"/>
        </w:rPr>
        <w:t xml:space="preserve"> Actualmente Sistema Electrónico de Contrataciones del Estado.</w:t>
      </w:r>
    </w:p>
    <w:p w:rsidR="0065614C" w:rsidRPr="004B0C62" w:rsidRDefault="0065614C" w:rsidP="0065614C">
      <w:pPr>
        <w:pStyle w:val="Textonotapie"/>
        <w:jc w:val="both"/>
      </w:pPr>
    </w:p>
  </w:footnote>
  <w:footnote w:id="14">
    <w:p w:rsidR="0065614C" w:rsidRDefault="0065614C" w:rsidP="0065614C">
      <w:pPr>
        <w:pStyle w:val="Textonotapie"/>
        <w:jc w:val="both"/>
        <w:rPr>
          <w:iCs/>
          <w:lang w:eastAsia="en-US"/>
        </w:rPr>
      </w:pPr>
      <w:r w:rsidRPr="004B0C62">
        <w:rPr>
          <w:rStyle w:val="Refdenotaalpie"/>
          <w:iCs/>
        </w:rPr>
        <w:footnoteRef/>
      </w:r>
      <w:r w:rsidRPr="004B0C62">
        <w:rPr>
          <w:iCs/>
          <w:lang w:eastAsia="en-US"/>
        </w:rPr>
        <w:t xml:space="preserve"> Sentencia del Tribunal Constitucional recaída en el Expediente </w:t>
      </w:r>
      <w:r>
        <w:rPr>
          <w:iCs/>
          <w:lang w:eastAsia="en-US"/>
        </w:rPr>
        <w:t>Nº</w:t>
      </w:r>
      <w:r w:rsidRPr="004B0C62">
        <w:rPr>
          <w:iCs/>
          <w:lang w:eastAsia="en-US"/>
        </w:rPr>
        <w:t xml:space="preserve"> 3741-2004-PA/TC.</w:t>
      </w:r>
    </w:p>
    <w:p w:rsidR="0065614C" w:rsidRPr="004B0C62" w:rsidRDefault="0065614C" w:rsidP="0065614C">
      <w:pPr>
        <w:pStyle w:val="Textonotapie"/>
        <w:jc w:val="both"/>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2155" w:rsidRDefault="00E92155" w:rsidP="00E92155">
    <w:pPr>
      <w:pStyle w:val="Encabezado"/>
      <w:jc w:val="center"/>
      <w:rPr>
        <w:rFonts w:ascii="Monotype Corsiva" w:hAnsi="Monotype Corsiva"/>
        <w:b/>
        <w:sz w:val="44"/>
        <w:szCs w:val="44"/>
      </w:rPr>
    </w:pPr>
    <w:r>
      <w:rPr>
        <w:noProof/>
      </w:rPr>
      <w:drawing>
        <wp:anchor distT="0" distB="0" distL="114300" distR="114300" simplePos="0" relativeHeight="251658240" behindDoc="0" locked="0" layoutInCell="1" allowOverlap="1">
          <wp:simplePos x="0" y="0"/>
          <wp:positionH relativeFrom="column">
            <wp:posOffset>-593725</wp:posOffset>
          </wp:positionH>
          <wp:positionV relativeFrom="paragraph">
            <wp:posOffset>-59690</wp:posOffset>
          </wp:positionV>
          <wp:extent cx="6515100" cy="58102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5100" cy="581025"/>
                  </a:xfrm>
                  <a:prstGeom prst="rect">
                    <a:avLst/>
                  </a:prstGeom>
                  <a:noFill/>
                </pic:spPr>
              </pic:pic>
            </a:graphicData>
          </a:graphic>
        </wp:anchor>
      </w:drawing>
    </w:r>
  </w:p>
  <w:p w:rsidR="00E92155" w:rsidRDefault="00E92155" w:rsidP="00E92155">
    <w:pPr>
      <w:pStyle w:val="Encabezado"/>
      <w:jc w:val="center"/>
      <w:rPr>
        <w:rFonts w:ascii="Monotype Corsiva" w:hAnsi="Monotype Corsiva"/>
        <w:b/>
        <w:sz w:val="44"/>
        <w:szCs w:val="44"/>
      </w:rPr>
    </w:pPr>
  </w:p>
  <w:p w:rsidR="00E92155" w:rsidRDefault="00E92155" w:rsidP="00E92155">
    <w:pPr>
      <w:pStyle w:val="Encabezado"/>
      <w:jc w:val="center"/>
      <w:rPr>
        <w:rFonts w:ascii="Monotype Corsiva" w:hAnsi="Monotype Corsiva"/>
        <w:b/>
        <w:sz w:val="44"/>
        <w:szCs w:val="44"/>
      </w:rPr>
    </w:pPr>
  </w:p>
  <w:p w:rsidR="00E92155" w:rsidRDefault="00E92155" w:rsidP="00E92155">
    <w:pPr>
      <w:pStyle w:val="Encabezado"/>
      <w:jc w:val="center"/>
      <w:rPr>
        <w:rFonts w:ascii="Tahoma" w:hAnsi="Tahoma" w:cs="Tahoma"/>
        <w:b/>
        <w:sz w:val="44"/>
        <w:szCs w:val="44"/>
      </w:rPr>
    </w:pPr>
    <w:r>
      <w:rPr>
        <w:rFonts w:ascii="Monotype Corsiva" w:hAnsi="Monotype Corsiva"/>
        <w:b/>
        <w:sz w:val="44"/>
        <w:szCs w:val="44"/>
      </w:rPr>
      <w:t xml:space="preserve">Resolución Nº   </w:t>
    </w:r>
    <w:r>
      <w:rPr>
        <w:rFonts w:ascii="Tahoma" w:hAnsi="Tahoma" w:cs="Tahoma"/>
        <w:b/>
        <w:sz w:val="44"/>
        <w:szCs w:val="44"/>
      </w:rPr>
      <w:t>146-2011-TC-S1</w:t>
    </w:r>
  </w:p>
  <w:p w:rsidR="00E92155" w:rsidRDefault="00E92155">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204BB"/>
    <w:multiLevelType w:val="hybridMultilevel"/>
    <w:tmpl w:val="9DDC7D40"/>
    <w:lvl w:ilvl="0" w:tplc="78364840">
      <w:start w:val="1"/>
      <w:numFmt w:val="decimal"/>
      <w:lvlText w:val="%1."/>
      <w:lvlJc w:val="left"/>
      <w:pPr>
        <w:ind w:left="720" w:hanging="360"/>
      </w:pPr>
      <w:rPr>
        <w:rFonts w:ascii="Tahoma" w:hAnsi="Tahoma" w:cs="Tahoma" w:hint="default"/>
        <w:b/>
        <w:i w:val="0"/>
        <w:sz w:val="22"/>
        <w:szCs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11104B16"/>
    <w:multiLevelType w:val="hybridMultilevel"/>
    <w:tmpl w:val="AB4C0CE0"/>
    <w:lvl w:ilvl="0" w:tplc="41802B04">
      <w:start w:val="1"/>
      <w:numFmt w:val="decimal"/>
      <w:lvlText w:val="%1."/>
      <w:lvlJc w:val="left"/>
      <w:pPr>
        <w:tabs>
          <w:tab w:val="num" w:pos="1440"/>
        </w:tabs>
        <w:ind w:left="1440" w:hanging="360"/>
      </w:pPr>
      <w:rPr>
        <w:rFonts w:ascii="Tahoma" w:hAnsi="Tahoma" w:hint="default"/>
        <w:b/>
        <w:i w:val="0"/>
        <w:sz w:val="22"/>
        <w:szCs w:val="22"/>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nsid w:val="13A84108"/>
    <w:multiLevelType w:val="hybridMultilevel"/>
    <w:tmpl w:val="24FC21A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268C0B2E"/>
    <w:multiLevelType w:val="hybridMultilevel"/>
    <w:tmpl w:val="100E46B2"/>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4">
    <w:nsid w:val="424E652C"/>
    <w:multiLevelType w:val="hybridMultilevel"/>
    <w:tmpl w:val="4D120D86"/>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5">
    <w:nsid w:val="4DC96DE1"/>
    <w:multiLevelType w:val="hybridMultilevel"/>
    <w:tmpl w:val="9FB68D96"/>
    <w:lvl w:ilvl="0" w:tplc="0C0A0013">
      <w:start w:val="1"/>
      <w:numFmt w:val="upp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5ABB771F"/>
    <w:multiLevelType w:val="hybridMultilevel"/>
    <w:tmpl w:val="5016BBB8"/>
    <w:lvl w:ilvl="0" w:tplc="0C0A0001">
      <w:start w:val="1"/>
      <w:numFmt w:val="bullet"/>
      <w:lvlText w:val=""/>
      <w:lvlJc w:val="left"/>
      <w:pPr>
        <w:ind w:left="1287" w:hanging="360"/>
      </w:pPr>
      <w:rPr>
        <w:rFonts w:ascii="Symbol" w:hAnsi="Symbol" w:hint="default"/>
      </w:rPr>
    </w:lvl>
    <w:lvl w:ilvl="1" w:tplc="0C0A0003" w:tentative="1">
      <w:start w:val="1"/>
      <w:numFmt w:val="bullet"/>
      <w:lvlText w:val="o"/>
      <w:lvlJc w:val="left"/>
      <w:pPr>
        <w:ind w:left="2007" w:hanging="360"/>
      </w:pPr>
      <w:rPr>
        <w:rFonts w:ascii="Courier New" w:hAnsi="Courier New" w:cs="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cs="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cs="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7">
    <w:nsid w:val="7FCC0EAB"/>
    <w:multiLevelType w:val="hybridMultilevel"/>
    <w:tmpl w:val="5AEEEB1E"/>
    <w:lvl w:ilvl="0" w:tplc="697632E4">
      <w:start w:val="1"/>
      <w:numFmt w:val="decimal"/>
      <w:lvlText w:val="%1."/>
      <w:lvlJc w:val="left"/>
      <w:pPr>
        <w:tabs>
          <w:tab w:val="num" w:pos="360"/>
        </w:tabs>
        <w:ind w:left="360" w:hanging="360"/>
      </w:pPr>
      <w:rPr>
        <w:b/>
        <w:i w:val="0"/>
        <w:shadow/>
        <w:sz w:val="24"/>
        <w:szCs w:val="24"/>
      </w:rPr>
    </w:lvl>
    <w:lvl w:ilvl="1" w:tplc="0C0A0019">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num w:numId="1">
    <w:abstractNumId w:val="5"/>
  </w:num>
  <w:num w:numId="2">
    <w:abstractNumId w:val="0"/>
  </w:num>
  <w:num w:numId="3">
    <w:abstractNumId w:val="3"/>
  </w:num>
  <w:num w:numId="4">
    <w:abstractNumId w:val="1"/>
  </w:num>
  <w:num w:numId="5">
    <w:abstractNumId w:val="2"/>
  </w:num>
  <w:num w:numId="6">
    <w:abstractNumId w:val="4"/>
  </w:num>
  <w:num w:numId="7">
    <w:abstractNumId w:val="6"/>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4098"/>
  </w:hdrShapeDefaults>
  <w:footnotePr>
    <w:footnote w:id="0"/>
    <w:footnote w:id="1"/>
  </w:footnotePr>
  <w:endnotePr>
    <w:endnote w:id="0"/>
    <w:endnote w:id="1"/>
  </w:endnotePr>
  <w:compat/>
  <w:rsids>
    <w:rsidRoot w:val="0065614C"/>
    <w:rsid w:val="00530C4D"/>
    <w:rsid w:val="005F0E2E"/>
    <w:rsid w:val="0065614C"/>
    <w:rsid w:val="007B15A9"/>
    <w:rsid w:val="008E1A5F"/>
    <w:rsid w:val="009042C5"/>
    <w:rsid w:val="00A12A72"/>
    <w:rsid w:val="00D51636"/>
    <w:rsid w:val="00D61027"/>
    <w:rsid w:val="00D73CED"/>
    <w:rsid w:val="00E159B8"/>
    <w:rsid w:val="00E92155"/>
    <w:rsid w:val="00F9161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614C"/>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65614C"/>
    <w:pPr>
      <w:spacing w:after="120"/>
    </w:pPr>
    <w:rPr>
      <w:sz w:val="16"/>
      <w:szCs w:val="16"/>
      <w:lang w:val="es-PE"/>
    </w:rPr>
  </w:style>
  <w:style w:type="character" w:customStyle="1" w:styleId="Textoindependiente3Car">
    <w:name w:val="Texto independiente 3 Car"/>
    <w:basedOn w:val="Fuentedeprrafopredeter"/>
    <w:link w:val="Textoindependiente3"/>
    <w:rsid w:val="0065614C"/>
    <w:rPr>
      <w:rFonts w:ascii="Times New Roman" w:eastAsia="Times New Roman" w:hAnsi="Times New Roman" w:cs="Times New Roman"/>
      <w:sz w:val="16"/>
      <w:szCs w:val="16"/>
      <w:lang w:val="es-PE" w:eastAsia="es-ES"/>
    </w:rPr>
  </w:style>
  <w:style w:type="paragraph" w:customStyle="1" w:styleId="Textoindependiente21">
    <w:name w:val="Texto independiente 21"/>
    <w:basedOn w:val="Normal"/>
    <w:rsid w:val="0065614C"/>
    <w:pPr>
      <w:jc w:val="both"/>
    </w:pPr>
    <w:rPr>
      <w:rFonts w:ascii="Tahoma" w:hAnsi="Tahoma"/>
      <w:sz w:val="22"/>
      <w:szCs w:val="20"/>
    </w:rPr>
  </w:style>
  <w:style w:type="paragraph" w:styleId="Prrafodelista">
    <w:name w:val="List Paragraph"/>
    <w:basedOn w:val="Normal"/>
    <w:uiPriority w:val="99"/>
    <w:qFormat/>
    <w:rsid w:val="0065614C"/>
    <w:pPr>
      <w:widowControl w:val="0"/>
      <w:suppressAutoHyphens/>
      <w:ind w:left="708"/>
    </w:pPr>
    <w:rPr>
      <w:szCs w:val="20"/>
      <w:lang w:val="es-ES_tradnl"/>
    </w:rPr>
  </w:style>
  <w:style w:type="paragraph" w:styleId="Textonotapie">
    <w:name w:val="footnote text"/>
    <w:aliases w:val="Car,Car Car Car,Car4, Car,Car Car1,Texto nota pie1,Texto independiente1, Car4,Body Text,Texto independiente11,Texto independiente2, Car1 Car,Car1 Car, Car2 Car Car Car Car Car, Car2 Car, Car2"/>
    <w:basedOn w:val="Normal"/>
    <w:link w:val="TextonotapieCar"/>
    <w:rsid w:val="0065614C"/>
    <w:rPr>
      <w:sz w:val="20"/>
      <w:szCs w:val="20"/>
    </w:rPr>
  </w:style>
  <w:style w:type="character" w:customStyle="1" w:styleId="TextonotapieCar">
    <w:name w:val="Texto nota pie Car"/>
    <w:aliases w:val="Car Car,Car Car Car Car,Car4 Car, Car Car,Car Car1 Car,Texto nota pie1 Car,Texto independiente1 Car, Car4 Car,Body Text Car,Texto independiente11 Car,Texto independiente2 Car, Car1 Car Car,Car1 Car Car, Car2 Car Car Car Car Car Car"/>
    <w:basedOn w:val="Fuentedeprrafopredeter"/>
    <w:link w:val="Textonotapie"/>
    <w:rsid w:val="0065614C"/>
    <w:rPr>
      <w:rFonts w:ascii="Times New Roman" w:eastAsia="Times New Roman" w:hAnsi="Times New Roman" w:cs="Times New Roman"/>
      <w:sz w:val="20"/>
      <w:szCs w:val="20"/>
      <w:lang w:eastAsia="es-ES"/>
    </w:rPr>
  </w:style>
  <w:style w:type="paragraph" w:styleId="Piedepgina">
    <w:name w:val="footer"/>
    <w:basedOn w:val="Normal"/>
    <w:link w:val="PiedepginaCar"/>
    <w:uiPriority w:val="99"/>
    <w:unhideWhenUsed/>
    <w:rsid w:val="0065614C"/>
    <w:pPr>
      <w:tabs>
        <w:tab w:val="center" w:pos="4252"/>
        <w:tab w:val="right" w:pos="8504"/>
      </w:tabs>
    </w:pPr>
  </w:style>
  <w:style w:type="character" w:customStyle="1" w:styleId="PiedepginaCar">
    <w:name w:val="Pie de página Car"/>
    <w:basedOn w:val="Fuentedeprrafopredeter"/>
    <w:link w:val="Piedepgina"/>
    <w:uiPriority w:val="99"/>
    <w:rsid w:val="0065614C"/>
    <w:rPr>
      <w:rFonts w:ascii="Times New Roman" w:eastAsia="Times New Roman" w:hAnsi="Times New Roman" w:cs="Times New Roman"/>
      <w:sz w:val="24"/>
      <w:szCs w:val="24"/>
      <w:lang w:eastAsia="es-ES"/>
    </w:rPr>
  </w:style>
  <w:style w:type="character" w:styleId="Refdenotaalpie">
    <w:name w:val="footnote reference"/>
    <w:basedOn w:val="Fuentedeprrafopredeter"/>
    <w:rsid w:val="0065614C"/>
    <w:rPr>
      <w:rFonts w:cs="Times New Roman"/>
      <w:vertAlign w:val="superscript"/>
    </w:rPr>
  </w:style>
  <w:style w:type="paragraph" w:styleId="Textoindependiente">
    <w:name w:val="Body Text"/>
    <w:basedOn w:val="Normal"/>
    <w:link w:val="TextoindependienteCar"/>
    <w:rsid w:val="0065614C"/>
    <w:pPr>
      <w:spacing w:after="120"/>
    </w:pPr>
  </w:style>
  <w:style w:type="character" w:customStyle="1" w:styleId="TextoindependienteCar">
    <w:name w:val="Texto independiente Car"/>
    <w:basedOn w:val="Fuentedeprrafopredeter"/>
    <w:link w:val="Textoindependiente"/>
    <w:rsid w:val="0065614C"/>
    <w:rPr>
      <w:rFonts w:ascii="Times New Roman" w:eastAsia="Times New Roman" w:hAnsi="Times New Roman" w:cs="Times New Roman"/>
      <w:sz w:val="24"/>
      <w:szCs w:val="24"/>
      <w:lang w:eastAsia="es-ES"/>
    </w:rPr>
  </w:style>
  <w:style w:type="character" w:styleId="Hipervnculo">
    <w:name w:val="Hyperlink"/>
    <w:basedOn w:val="Fuentedeprrafopredeter"/>
    <w:uiPriority w:val="99"/>
    <w:unhideWhenUsed/>
    <w:rsid w:val="0065614C"/>
    <w:rPr>
      <w:color w:val="0000FF" w:themeColor="hyperlink"/>
      <w:u w:val="single"/>
    </w:rPr>
  </w:style>
  <w:style w:type="paragraph" w:styleId="Ttulo">
    <w:name w:val="Title"/>
    <w:basedOn w:val="Normal"/>
    <w:next w:val="Normal"/>
    <w:link w:val="TtuloCar"/>
    <w:uiPriority w:val="10"/>
    <w:qFormat/>
    <w:rsid w:val="00530C4D"/>
    <w:pPr>
      <w:suppressAutoHyphens/>
      <w:spacing w:before="240" w:after="60"/>
      <w:jc w:val="center"/>
      <w:outlineLvl w:val="0"/>
    </w:pPr>
    <w:rPr>
      <w:rFonts w:ascii="Cambria" w:hAnsi="Cambria"/>
      <w:b/>
      <w:bCs/>
      <w:kern w:val="28"/>
      <w:sz w:val="32"/>
      <w:szCs w:val="32"/>
      <w:lang w:val="es-ES_tradnl" w:eastAsia="es-PE"/>
    </w:rPr>
  </w:style>
  <w:style w:type="character" w:customStyle="1" w:styleId="TtuloCar">
    <w:name w:val="Título Car"/>
    <w:basedOn w:val="Fuentedeprrafopredeter"/>
    <w:link w:val="Ttulo"/>
    <w:uiPriority w:val="10"/>
    <w:rsid w:val="00530C4D"/>
    <w:rPr>
      <w:rFonts w:ascii="Cambria" w:eastAsia="Times New Roman" w:hAnsi="Cambria" w:cs="Times New Roman"/>
      <w:b/>
      <w:bCs/>
      <w:kern w:val="28"/>
      <w:sz w:val="32"/>
      <w:szCs w:val="32"/>
      <w:lang w:val="es-ES_tradnl" w:eastAsia="es-PE"/>
    </w:rPr>
  </w:style>
  <w:style w:type="paragraph" w:styleId="Encabezado">
    <w:name w:val="header"/>
    <w:aliases w:val="encabezado,Encabezado Car Car Car Car,Encabezado Car Car,maria,Encabezado1,h"/>
    <w:basedOn w:val="Normal"/>
    <w:link w:val="EncabezadoCar"/>
    <w:semiHidden/>
    <w:unhideWhenUsed/>
    <w:rsid w:val="00E92155"/>
    <w:pPr>
      <w:tabs>
        <w:tab w:val="center" w:pos="4252"/>
        <w:tab w:val="right" w:pos="8504"/>
      </w:tabs>
    </w:pPr>
  </w:style>
  <w:style w:type="character" w:customStyle="1" w:styleId="EncabezadoCar">
    <w:name w:val="Encabezado Car"/>
    <w:aliases w:val="encabezado Car,Encabezado Car Car Car Car Car,Encabezado Car Car Car,maria Car,Encabezado1 Car,h Car"/>
    <w:basedOn w:val="Fuentedeprrafopredeter"/>
    <w:link w:val="Encabezado"/>
    <w:semiHidden/>
    <w:rsid w:val="00E92155"/>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490952205">
      <w:bodyDiv w:val="1"/>
      <w:marLeft w:val="0"/>
      <w:marRight w:val="0"/>
      <w:marTop w:val="0"/>
      <w:marBottom w:val="0"/>
      <w:divBdr>
        <w:top w:val="none" w:sz="0" w:space="0" w:color="auto"/>
        <w:left w:val="none" w:sz="0" w:space="0" w:color="auto"/>
        <w:bottom w:val="none" w:sz="0" w:space="0" w:color="auto"/>
        <w:right w:val="none" w:sz="0" w:space="0" w:color="auto"/>
      </w:divBdr>
    </w:div>
    <w:div w:id="1283653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icoh-usa.com/products/brochures/Aficio%202105.pdf" TargetMode="External"/><Relationship Id="rId3" Type="http://schemas.openxmlformats.org/officeDocument/2006/relationships/settings" Target="settings.xml"/><Relationship Id="rId7" Type="http://schemas.openxmlformats.org/officeDocument/2006/relationships/hyperlink" Target="http://www.ricoh-usa.com/products/brochures/Aficio%202105.pd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9</Pages>
  <Words>3006</Words>
  <Characters>16536</Characters>
  <Application>Microsoft Office Word</Application>
  <DocSecurity>0</DocSecurity>
  <Lines>137</Lines>
  <Paragraphs>39</Paragraphs>
  <ScaleCrop>false</ScaleCrop>
  <Company/>
  <LinksUpToDate>false</LinksUpToDate>
  <CharactersWithSpaces>19503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jtorrico</dc:creator>
  <cp:keywords/>
  <dc:description/>
  <cp:lastModifiedBy>bcaceres</cp:lastModifiedBy>
  <cp:revision>8</cp:revision>
  <cp:lastPrinted>2011-01-31T17:31:00Z</cp:lastPrinted>
  <dcterms:created xsi:type="dcterms:W3CDTF">2011-01-31T17:22:00Z</dcterms:created>
  <dcterms:modified xsi:type="dcterms:W3CDTF">2011-02-08T15:49:00Z</dcterms:modified>
</cp:coreProperties>
</file>